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4260F" w:rsidRDefault="0064260F">
      <w:pPr>
        <w:pStyle w:val="BodyText"/>
        <w:kinsoku w:val="0"/>
        <w:overflowPunct w:val="0"/>
        <w:spacing w:after="1"/>
        <w:rPr>
          <w:rFonts w:ascii="Times New Roman" w:hAnsi="Times New Roman" w:cs="Times New Roman"/>
          <w:sz w:val="27"/>
          <w:szCs w:val="27"/>
        </w:rPr>
      </w:pPr>
    </w:p>
    <w:p w14:paraId="2C0AA484" w14:textId="77777777" w:rsidR="0064260F" w:rsidRDefault="004F1DA3">
      <w:pPr>
        <w:pStyle w:val="BodyText"/>
        <w:kinsoku w:val="0"/>
        <w:overflowPunct w:val="0"/>
        <w:ind w:left="973"/>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4B08FD65" wp14:editId="32EDDAE4">
                <wp:extent cx="4943475" cy="567055"/>
                <wp:effectExtent l="0" t="0" r="0" b="44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67055"/>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2DE2F" w14:textId="77777777" w:rsidR="0064260F" w:rsidRDefault="004F1DA3">
                            <w:pPr>
                              <w:pStyle w:val="BodyText"/>
                              <w:kinsoku w:val="0"/>
                              <w:overflowPunct w:val="0"/>
                              <w:spacing w:before="236"/>
                              <w:ind w:left="600"/>
                              <w:rPr>
                                <w:color w:val="585858"/>
                                <w:sz w:val="36"/>
                                <w:szCs w:val="36"/>
                              </w:rPr>
                            </w:pPr>
                            <w:r>
                              <w:rPr>
                                <w:color w:val="585858"/>
                                <w:sz w:val="36"/>
                                <w:szCs w:val="36"/>
                              </w:rPr>
                              <w:t>IOPS COUNTRY PROFILE: AUSTRALIA</w:t>
                            </w:r>
                          </w:p>
                        </w:txbxContent>
                      </wps:txbx>
                      <wps:bodyPr rot="0" vert="horz" wrap="square" lIns="0" tIns="0" rIns="0" bIns="0" anchor="t" anchorCtr="0" upright="1"/>
                    </wps:wsp>
                  </a:graphicData>
                </a:graphic>
              </wp:inline>
            </w:drawing>
          </mc:Choice>
          <mc:Fallback>
            <w:pict>
              <v:shapetype w14:anchorId="4B08FD65" id="_x0000_t202" coordsize="21600,21600" o:spt="202" path="m,l,21600r21600,l21600,xe">
                <v:stroke joinstyle="miter"/>
                <v:path gradientshapeok="t" o:connecttype="rect"/>
              </v:shapetype>
              <v:shape id="Text Box 8" o:spid="_x0000_s1026" type="#_x0000_t202" style="width:389.25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" fillcolor="#8db3e1" stroked="f">
                <v:textbox inset="0,0,0,0">
                  <w:txbxContent>
                    <w:p w14:paraId="6AE2DE2F" w14:textId="77777777" w:rsidR="0064260F" w:rsidRDefault="004F1DA3">
                      <w:pPr>
                        <w:pStyle w:val="BodyText"/>
                        <w:kinsoku w:val="0"/>
                        <w:overflowPunct w:val="0"/>
                        <w:spacing w:before="236"/>
                        <w:ind w:left="600"/>
                        <w:rPr>
                          <w:color w:val="585858"/>
                          <w:sz w:val="36"/>
                          <w:szCs w:val="36"/>
                        </w:rPr>
                      </w:pPr>
                      <w:r>
                        <w:rPr>
                          <w:color w:val="585858"/>
                          <w:sz w:val="36"/>
                          <w:szCs w:val="36"/>
                        </w:rPr>
                        <w:t>IOPS COUNTRY PROFILE: AUSTRALIA</w:t>
                      </w:r>
                    </w:p>
                  </w:txbxContent>
                </v:textbox>
                <w10:anchorlock/>
              </v:shape>
            </w:pict>
          </mc:Fallback>
        </mc:AlternateContent>
      </w:r>
    </w:p>
    <w:p w14:paraId="0A37501D" w14:textId="77777777" w:rsidR="0064260F" w:rsidRDefault="0064260F">
      <w:pPr>
        <w:pStyle w:val="BodyText"/>
        <w:kinsoku w:val="0"/>
        <w:overflowPunct w:val="0"/>
        <w:rPr>
          <w:rFonts w:ascii="Times New Roman" w:hAnsi="Times New Roman" w:cs="Times New Roman"/>
          <w:sz w:val="20"/>
          <w:szCs w:val="20"/>
        </w:rPr>
      </w:pPr>
    </w:p>
    <w:p w14:paraId="5DAB6C7B" w14:textId="77777777" w:rsidR="0064260F" w:rsidRDefault="0064260F">
      <w:pPr>
        <w:pStyle w:val="BodyText"/>
        <w:kinsoku w:val="0"/>
        <w:overflowPunct w:val="0"/>
        <w:rPr>
          <w:rFonts w:ascii="Times New Roman" w:hAnsi="Times New Roman" w:cs="Times New Roman"/>
          <w:sz w:val="20"/>
          <w:szCs w:val="20"/>
        </w:rPr>
      </w:pPr>
    </w:p>
    <w:p w14:paraId="02EB378F" w14:textId="77777777" w:rsidR="0064260F" w:rsidRDefault="0064260F">
      <w:pPr>
        <w:pStyle w:val="BodyText"/>
        <w:kinsoku w:val="0"/>
        <w:overflowPunct w:val="0"/>
        <w:spacing w:before="6"/>
        <w:rPr>
          <w:rFonts w:ascii="Times New Roman" w:hAnsi="Times New Roman" w:cs="Times New Roman"/>
          <w:sz w:val="21"/>
          <w:szCs w:val="21"/>
        </w:rPr>
      </w:pPr>
    </w:p>
    <w:tbl>
      <w:tblPr>
        <w:tblW w:w="0" w:type="auto"/>
        <w:tblLook w:val="04A0" w:firstRow="1" w:lastRow="0" w:firstColumn="1" w:lastColumn="0" w:noHBand="0" w:noVBand="1"/>
      </w:tblPr>
      <w:tblGrid>
        <w:gridCol w:w="4311"/>
        <w:gridCol w:w="5439"/>
      </w:tblGrid>
      <w:tr w:rsidR="008E11B3" w14:paraId="555307DA" w14:textId="77777777" w:rsidTr="00D200C9">
        <w:trPr>
          <w:trHeight w:val="4311"/>
        </w:trPr>
        <w:tc>
          <w:tcPr>
            <w:tcW w:w="1951" w:type="dxa"/>
          </w:tcPr>
          <w:p w14:paraId="6A05A809" w14:textId="31F54FD5" w:rsidR="00241EAE" w:rsidRPr="00241EAE" w:rsidRDefault="004F1DA3" w:rsidP="00241EAE">
            <w:pPr>
              <w:pStyle w:val="BodyText"/>
              <w:kinsoku w:val="0"/>
              <w:overflowPunct w:val="0"/>
              <w:spacing w:before="6"/>
              <w:rPr>
                <w:rFonts w:ascii="Times New Roman" w:hAnsi="Times New Roman" w:cs="Times New Roman"/>
                <w:sz w:val="21"/>
                <w:szCs w:val="21"/>
              </w:rPr>
            </w:pPr>
            <w:r w:rsidRPr="00241EAE">
              <w:rPr>
                <w:rFonts w:ascii="Times New Roman" w:hAnsi="Times New Roman" w:cs="Times New Roman"/>
                <w:noProof/>
                <w:sz w:val="24"/>
                <w:szCs w:val="24"/>
              </w:rPr>
              <w:drawing>
                <wp:inline distT="0" distB="0" distL="0" distR="0" wp14:anchorId="69F33671" wp14:editId="327C702F">
                  <wp:extent cx="2600325" cy="2619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600325" cy="2619375"/>
                          </a:xfrm>
                          <a:prstGeom prst="rect">
                            <a:avLst/>
                          </a:prstGeom>
                          <a:noFill/>
                          <a:ln>
                            <a:noFill/>
                          </a:ln>
                        </pic:spPr>
                      </pic:pic>
                    </a:graphicData>
                  </a:graphic>
                </wp:inline>
              </w:drawing>
            </w:r>
          </w:p>
        </w:tc>
        <w:tc>
          <w:tcPr>
            <w:tcW w:w="8015" w:type="dxa"/>
          </w:tcPr>
          <w:p w14:paraId="6BCAA1F9" w14:textId="7868107B" w:rsidR="00241EAE" w:rsidRPr="00241EAE" w:rsidRDefault="004F1DA3" w:rsidP="00D200C9">
            <w:pPr>
              <w:pStyle w:val="BodyText"/>
              <w:kinsoku w:val="0"/>
              <w:overflowPunct w:val="0"/>
              <w:jc w:val="center"/>
              <w:rPr>
                <w:b/>
                <w:bCs/>
                <w:color w:val="2E74B5"/>
                <w:sz w:val="18"/>
                <w:szCs w:val="18"/>
              </w:rPr>
            </w:pPr>
            <w:r w:rsidRPr="5307D4D6">
              <w:rPr>
                <w:b/>
                <w:color w:val="2E74B5" w:themeColor="accent1" w:themeShade="BF"/>
              </w:rPr>
              <w:t>D</w:t>
            </w:r>
            <w:r w:rsidRPr="5307D4D6">
              <w:rPr>
                <w:b/>
                <w:color w:val="2E74B5" w:themeColor="accent1" w:themeShade="BF"/>
                <w:sz w:val="18"/>
                <w:szCs w:val="18"/>
              </w:rPr>
              <w:t>EMOGRAPHICS AND MACROECONOMICS</w:t>
            </w:r>
          </w:p>
          <w:p w14:paraId="5A39BBE3" w14:textId="77777777" w:rsidR="00241EAE" w:rsidRDefault="00241EAE" w:rsidP="00241EAE">
            <w:pPr>
              <w:pStyle w:val="BodyText"/>
              <w:kinsoku w:val="0"/>
              <w:overflowPunct w:val="0"/>
              <w:ind w:left="508"/>
              <w:rPr>
                <w:b/>
                <w:bCs/>
                <w:color w:val="2E74B5"/>
                <w:sz w:val="18"/>
                <w:szCs w:val="18"/>
              </w:rPr>
            </w:pPr>
          </w:p>
          <w:p w14:paraId="41C8F396" w14:textId="77777777" w:rsidR="00D200C9" w:rsidRPr="00241EAE" w:rsidRDefault="00D200C9" w:rsidP="00241EAE">
            <w:pPr>
              <w:pStyle w:val="BodyText"/>
              <w:kinsoku w:val="0"/>
              <w:overflowPunct w:val="0"/>
              <w:ind w:left="508"/>
              <w:rPr>
                <w:b/>
                <w:bCs/>
                <w:color w:val="2E74B5"/>
                <w:sz w:val="18"/>
                <w:szCs w:val="18"/>
              </w:rPr>
            </w:pPr>
          </w:p>
          <w:tbl>
            <w:tblPr>
              <w:tblW w:w="0" w:type="auto"/>
              <w:tblInd w:w="498" w:type="dxa"/>
              <w:tblCellMar>
                <w:left w:w="0" w:type="dxa"/>
                <w:right w:w="0" w:type="dxa"/>
              </w:tblCellMar>
              <w:tblLook w:val="0000" w:firstRow="0" w:lastRow="0" w:firstColumn="0" w:lastColumn="0" w:noHBand="0" w:noVBand="0"/>
            </w:tblPr>
            <w:tblGrid>
              <w:gridCol w:w="2835"/>
              <w:gridCol w:w="1741"/>
            </w:tblGrid>
            <w:tr w:rsidR="008E11B3" w14:paraId="0B5F079B"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22F02" w14:textId="77777777" w:rsidR="00241EAE" w:rsidRPr="00241EAE" w:rsidRDefault="004F1DA3" w:rsidP="00241EAE">
                  <w:pPr>
                    <w:pStyle w:val="TableParagraph"/>
                    <w:kinsoku w:val="0"/>
                    <w:overflowPunct w:val="0"/>
                    <w:spacing w:line="271" w:lineRule="exact"/>
                    <w:rPr>
                      <w:position w:val="6"/>
                      <w:sz w:val="16"/>
                      <w:szCs w:val="16"/>
                    </w:rPr>
                  </w:pPr>
                  <w:r w:rsidRPr="00241EAE">
                    <w:t xml:space="preserve"> GDP per capita (USD)</w:t>
                  </w:r>
                  <w:r w:rsidRPr="00241EAE">
                    <w:rPr>
                      <w:position w:val="6"/>
                      <w:sz w:val="16"/>
                      <w:szCs w:val="16"/>
                    </w:rPr>
                    <w:t>1</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8A7C8" w14:textId="0AF6F785" w:rsidR="00241EAE" w:rsidRPr="00241EAE" w:rsidRDefault="004F1DA3" w:rsidP="00241EAE">
                  <w:pPr>
                    <w:pStyle w:val="TableParagraph"/>
                    <w:kinsoku w:val="0"/>
                    <w:overflowPunct w:val="0"/>
                    <w:spacing w:line="262" w:lineRule="exact"/>
                    <w:ind w:right="94"/>
                    <w:rPr>
                      <w:b/>
                      <w:bCs/>
                    </w:rPr>
                  </w:pPr>
                  <w:r w:rsidRPr="00241EAE">
                    <w:rPr>
                      <w:b/>
                      <w:bCs/>
                    </w:rPr>
                    <w:t xml:space="preserve"> </w:t>
                  </w:r>
                  <w:r w:rsidR="00CE1128">
                    <w:rPr>
                      <w:b/>
                      <w:bCs/>
                    </w:rPr>
                    <w:t>71 862</w:t>
                  </w:r>
                </w:p>
              </w:tc>
            </w:tr>
            <w:tr w:rsidR="008E11B3" w14:paraId="593508A7"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7E9C32B4" w14:textId="77777777" w:rsidR="00241EAE" w:rsidRPr="00241EAE" w:rsidRDefault="004F1DA3" w:rsidP="00241EAE">
                  <w:pPr>
                    <w:pStyle w:val="TableParagraph"/>
                    <w:kinsoku w:val="0"/>
                    <w:overflowPunct w:val="0"/>
                    <w:spacing w:line="271" w:lineRule="exact"/>
                    <w:rPr>
                      <w:position w:val="6"/>
                      <w:sz w:val="16"/>
                      <w:szCs w:val="16"/>
                    </w:rPr>
                  </w:pPr>
                  <w:r w:rsidRPr="00241EAE">
                    <w:t xml:space="preserve"> Population (000s)</w:t>
                  </w:r>
                  <w:r w:rsidRPr="00241EAE">
                    <w:rPr>
                      <w:position w:val="6"/>
                      <w:sz w:val="16"/>
                      <w:szCs w:val="16"/>
                    </w:rPr>
                    <w:t>2</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18F5F51C" w14:textId="3F824D6F" w:rsidR="00241EAE" w:rsidRPr="00241EAE" w:rsidRDefault="004F1DA3" w:rsidP="00241EAE">
                  <w:pPr>
                    <w:pStyle w:val="TableParagraph"/>
                    <w:kinsoku w:val="0"/>
                    <w:overflowPunct w:val="0"/>
                    <w:spacing w:line="263" w:lineRule="exact"/>
                    <w:ind w:right="94"/>
                    <w:rPr>
                      <w:b/>
                      <w:bCs/>
                    </w:rPr>
                  </w:pPr>
                  <w:r w:rsidRPr="00241EAE">
                    <w:rPr>
                      <w:b/>
                      <w:bCs/>
                    </w:rPr>
                    <w:t xml:space="preserve"> </w:t>
                  </w:r>
                  <w:r w:rsidRPr="4945DBF2">
                    <w:rPr>
                      <w:b/>
                      <w:bCs/>
                    </w:rPr>
                    <w:t>2</w:t>
                  </w:r>
                  <w:r w:rsidR="0EF75223" w:rsidRPr="4945DBF2">
                    <w:rPr>
                      <w:b/>
                      <w:bCs/>
                    </w:rPr>
                    <w:t xml:space="preserve">6 </w:t>
                  </w:r>
                  <w:r w:rsidR="00D246DD">
                    <w:rPr>
                      <w:b/>
                      <w:bCs/>
                    </w:rPr>
                    <w:t>63</w:t>
                  </w:r>
                  <w:r w:rsidR="00E14353">
                    <w:rPr>
                      <w:b/>
                      <w:bCs/>
                    </w:rPr>
                    <w:t>9</w:t>
                  </w:r>
                </w:p>
              </w:tc>
            </w:tr>
            <w:tr w:rsidR="008E11B3" w14:paraId="7333C926"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8F8F5" w14:textId="77777777" w:rsidR="00241EAE" w:rsidRPr="00241EAE" w:rsidRDefault="004F1DA3" w:rsidP="00241EAE">
                  <w:pPr>
                    <w:pStyle w:val="TableParagraph"/>
                    <w:kinsoku w:val="0"/>
                    <w:overflowPunct w:val="0"/>
                    <w:spacing w:line="269" w:lineRule="exact"/>
                    <w:rPr>
                      <w:position w:val="6"/>
                      <w:sz w:val="16"/>
                      <w:szCs w:val="16"/>
                    </w:rPr>
                  </w:pPr>
                  <w:r w:rsidRPr="00241EAE">
                    <w:t xml:space="preserve"> Labour force (000s)</w:t>
                  </w:r>
                  <w:r w:rsidRPr="00241EAE">
                    <w:rPr>
                      <w:position w:val="6"/>
                      <w:sz w:val="16"/>
                      <w:szCs w:val="16"/>
                    </w:rPr>
                    <w:t>2</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46190" w14:textId="04E163EF" w:rsidR="00241EAE" w:rsidRPr="00241EAE" w:rsidRDefault="004F1DA3" w:rsidP="00241EAE">
                  <w:pPr>
                    <w:pStyle w:val="TableParagraph"/>
                    <w:kinsoku w:val="0"/>
                    <w:overflowPunct w:val="0"/>
                    <w:spacing w:line="262" w:lineRule="exact"/>
                    <w:ind w:right="94"/>
                    <w:rPr>
                      <w:b/>
                      <w:bCs/>
                    </w:rPr>
                  </w:pPr>
                  <w:r w:rsidRPr="00241EAE">
                    <w:rPr>
                      <w:b/>
                      <w:bCs/>
                    </w:rPr>
                    <w:t xml:space="preserve"> 1</w:t>
                  </w:r>
                  <w:r w:rsidR="00583954">
                    <w:rPr>
                      <w:b/>
                      <w:bCs/>
                    </w:rPr>
                    <w:t xml:space="preserve">4 </w:t>
                  </w:r>
                  <w:r w:rsidR="002A63C8">
                    <w:rPr>
                      <w:b/>
                      <w:bCs/>
                    </w:rPr>
                    <w:t>041</w:t>
                  </w:r>
                </w:p>
              </w:tc>
            </w:tr>
            <w:tr w:rsidR="008E11B3" w14:paraId="4311EB03"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2245F747" w14:textId="77777777" w:rsidR="00241EAE" w:rsidRPr="00241EAE" w:rsidRDefault="004F1DA3" w:rsidP="00241EAE">
                  <w:pPr>
                    <w:pStyle w:val="TableParagraph"/>
                    <w:kinsoku w:val="0"/>
                    <w:overflowPunct w:val="0"/>
                    <w:spacing w:line="269" w:lineRule="exact"/>
                    <w:rPr>
                      <w:position w:val="6"/>
                      <w:sz w:val="16"/>
                      <w:szCs w:val="16"/>
                    </w:rPr>
                  </w:pPr>
                  <w:r w:rsidRPr="00241EAE">
                    <w:t xml:space="preserve"> Employment rate</w:t>
                  </w:r>
                  <w:r w:rsidRPr="00241EAE">
                    <w:rPr>
                      <w:position w:val="6"/>
                      <w:sz w:val="16"/>
                      <w:szCs w:val="16"/>
                    </w:rPr>
                    <w:t>2</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08369B24" w14:textId="55C37BAC" w:rsidR="00241EAE" w:rsidRPr="00241EAE" w:rsidRDefault="004F1DA3" w:rsidP="00241EAE">
                  <w:pPr>
                    <w:pStyle w:val="TableParagraph"/>
                    <w:kinsoku w:val="0"/>
                    <w:overflowPunct w:val="0"/>
                    <w:spacing w:line="262" w:lineRule="exact"/>
                    <w:ind w:right="93"/>
                    <w:rPr>
                      <w:b/>
                      <w:bCs/>
                    </w:rPr>
                  </w:pPr>
                  <w:r w:rsidRPr="00241EAE">
                    <w:rPr>
                      <w:b/>
                      <w:bCs/>
                    </w:rPr>
                    <w:t xml:space="preserve"> 9</w:t>
                  </w:r>
                  <w:r w:rsidR="006B2962">
                    <w:rPr>
                      <w:b/>
                      <w:bCs/>
                    </w:rPr>
                    <w:t>6</w:t>
                  </w:r>
                  <w:r w:rsidRPr="00241EAE">
                    <w:rPr>
                      <w:b/>
                      <w:bCs/>
                    </w:rPr>
                    <w:t>.</w:t>
                  </w:r>
                  <w:r w:rsidR="003442AE">
                    <w:rPr>
                      <w:b/>
                      <w:bCs/>
                    </w:rPr>
                    <w:t>5</w:t>
                  </w:r>
                </w:p>
              </w:tc>
            </w:tr>
            <w:tr w:rsidR="008E11B3" w14:paraId="4BE0B35C"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EB92C" w14:textId="476C69FF" w:rsidR="00241EAE" w:rsidRPr="00FE2901" w:rsidRDefault="004F1DA3" w:rsidP="00241EAE">
                  <w:pPr>
                    <w:pStyle w:val="TableParagraph"/>
                    <w:kinsoku w:val="0"/>
                    <w:overflowPunct w:val="0"/>
                    <w:spacing w:line="269" w:lineRule="exact"/>
                    <w:rPr>
                      <w:position w:val="6"/>
                      <w:sz w:val="16"/>
                      <w:szCs w:val="16"/>
                    </w:rPr>
                  </w:pPr>
                  <w:r w:rsidRPr="00241EAE">
                    <w:t xml:space="preserve"> Population over 65(%)</w:t>
                  </w:r>
                  <w:r w:rsidRPr="00F75C52">
                    <w:rPr>
                      <w:sz w:val="16"/>
                    </w:rPr>
                    <w:t>2</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6BC45" w14:textId="252B46C9" w:rsidR="00241EAE" w:rsidRPr="00241EAE" w:rsidRDefault="004F1DA3" w:rsidP="00241EAE">
                  <w:pPr>
                    <w:pStyle w:val="TableParagraph"/>
                    <w:kinsoku w:val="0"/>
                    <w:overflowPunct w:val="0"/>
                    <w:spacing w:line="262" w:lineRule="exact"/>
                    <w:ind w:right="93"/>
                    <w:rPr>
                      <w:b/>
                      <w:bCs/>
                    </w:rPr>
                  </w:pPr>
                  <w:r w:rsidRPr="4945DBF2">
                    <w:rPr>
                      <w:b/>
                      <w:bCs/>
                    </w:rPr>
                    <w:t xml:space="preserve"> </w:t>
                  </w:r>
                  <w:r w:rsidR="00EC3CF5">
                    <w:rPr>
                      <w:b/>
                      <w:bCs/>
                    </w:rPr>
                    <w:t>17</w:t>
                  </w:r>
                  <w:r w:rsidR="61CD6E6B" w:rsidRPr="4945DBF2">
                    <w:rPr>
                      <w:b/>
                      <w:bCs/>
                    </w:rPr>
                    <w:t>.</w:t>
                  </w:r>
                  <w:r w:rsidR="00201FB7">
                    <w:rPr>
                      <w:b/>
                      <w:bCs/>
                    </w:rPr>
                    <w:t>1</w:t>
                  </w:r>
                </w:p>
              </w:tc>
            </w:tr>
            <w:tr w:rsidR="008E11B3" w14:paraId="4F05A7F1" w14:textId="77777777" w:rsidTr="00F75C52">
              <w:trPr>
                <w:trHeight w:val="2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3D5FE4B9" w14:textId="34CC2868" w:rsidR="00241EAE" w:rsidRPr="00241EAE" w:rsidRDefault="004F1DA3" w:rsidP="00241EAE">
                  <w:pPr>
                    <w:pStyle w:val="TableParagraph"/>
                    <w:kinsoku w:val="0"/>
                    <w:overflowPunct w:val="0"/>
                    <w:spacing w:line="269" w:lineRule="exact"/>
                    <w:rPr>
                      <w:position w:val="6"/>
                      <w:sz w:val="16"/>
                      <w:szCs w:val="16"/>
                    </w:rPr>
                  </w:pPr>
                  <w:r w:rsidRPr="00241EAE">
                    <w:t xml:space="preserve"> Dependency ratio</w:t>
                  </w:r>
                  <w:r w:rsidRPr="00241EAE">
                    <w:rPr>
                      <w:position w:val="6"/>
                      <w:sz w:val="16"/>
                      <w:szCs w:val="16"/>
                    </w:rPr>
                    <w:t>3</w:t>
                  </w:r>
                </w:p>
              </w:tc>
              <w:tc>
                <w:tcPr>
                  <w:tcW w:w="17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D9F0"/>
                </w:tcPr>
                <w:p w14:paraId="2F5EFAEE" w14:textId="1736F5D3" w:rsidR="00241EAE" w:rsidRPr="00241EAE" w:rsidRDefault="004F1DA3" w:rsidP="00241EAE">
                  <w:pPr>
                    <w:pStyle w:val="TableParagraph"/>
                    <w:kinsoku w:val="0"/>
                    <w:overflowPunct w:val="0"/>
                    <w:spacing w:line="262" w:lineRule="exact"/>
                    <w:ind w:right="93"/>
                    <w:rPr>
                      <w:b/>
                      <w:bCs/>
                    </w:rPr>
                  </w:pPr>
                  <w:r w:rsidRPr="00241EAE">
                    <w:rPr>
                      <w:b/>
                      <w:bCs/>
                    </w:rPr>
                    <w:t xml:space="preserve"> </w:t>
                  </w:r>
                  <w:r w:rsidR="002913BA">
                    <w:rPr>
                      <w:b/>
                      <w:bCs/>
                    </w:rPr>
                    <w:t>32.</w:t>
                  </w:r>
                  <w:r w:rsidR="00BD1019">
                    <w:rPr>
                      <w:b/>
                      <w:bCs/>
                    </w:rPr>
                    <w:t>4</w:t>
                  </w:r>
                </w:p>
              </w:tc>
            </w:tr>
          </w:tbl>
          <w:p w14:paraId="72A3D3EC" w14:textId="77777777" w:rsidR="00D200C9" w:rsidRDefault="00D200C9" w:rsidP="00D200C9">
            <w:pPr>
              <w:pStyle w:val="ListParagraph"/>
              <w:tabs>
                <w:tab w:val="left" w:pos="5494"/>
              </w:tabs>
              <w:kinsoku w:val="0"/>
              <w:overflowPunct w:val="0"/>
              <w:spacing w:before="178"/>
              <w:ind w:left="508" w:right="801" w:firstLine="0"/>
              <w:rPr>
                <w:sz w:val="16"/>
                <w:szCs w:val="16"/>
              </w:rPr>
            </w:pPr>
          </w:p>
          <w:p w14:paraId="283BDAA4" w14:textId="28D46E57" w:rsidR="00241EAE" w:rsidRDefault="004F1DA3" w:rsidP="00F75C52">
            <w:pPr>
              <w:pStyle w:val="ListParagraph"/>
              <w:numPr>
                <w:ilvl w:val="0"/>
                <w:numId w:val="4"/>
              </w:numPr>
              <w:tabs>
                <w:tab w:val="left" w:pos="5494"/>
              </w:tabs>
              <w:kinsoku w:val="0"/>
              <w:overflowPunct w:val="0"/>
              <w:ind w:right="801"/>
              <w:rPr>
                <w:sz w:val="16"/>
                <w:szCs w:val="16"/>
              </w:rPr>
            </w:pPr>
            <w:r w:rsidRPr="00241EAE">
              <w:rPr>
                <w:sz w:val="16"/>
                <w:szCs w:val="16"/>
              </w:rPr>
              <w:t xml:space="preserve">Source: </w:t>
            </w:r>
            <w:r w:rsidR="43E375EF" w:rsidRPr="00241EAE">
              <w:rPr>
                <w:sz w:val="16"/>
                <w:szCs w:val="16"/>
              </w:rPr>
              <w:t>OECD</w:t>
            </w:r>
            <w:r w:rsidRPr="00241EAE">
              <w:rPr>
                <w:sz w:val="16"/>
                <w:szCs w:val="16"/>
              </w:rPr>
              <w:t>, calculated on a PPP basis, 20</w:t>
            </w:r>
            <w:r w:rsidR="00EF0033">
              <w:rPr>
                <w:sz w:val="16"/>
                <w:szCs w:val="16"/>
              </w:rPr>
              <w:t>2</w:t>
            </w:r>
            <w:r w:rsidR="00E454E1">
              <w:rPr>
                <w:sz w:val="16"/>
                <w:szCs w:val="16"/>
              </w:rPr>
              <w:t>3</w:t>
            </w:r>
            <w:r w:rsidRPr="00241EAE">
              <w:rPr>
                <w:sz w:val="16"/>
                <w:szCs w:val="16"/>
              </w:rPr>
              <w:t xml:space="preserve"> calendar</w:t>
            </w:r>
            <w:r w:rsidRPr="00241EAE">
              <w:rPr>
                <w:spacing w:val="-1"/>
                <w:sz w:val="16"/>
                <w:szCs w:val="16"/>
              </w:rPr>
              <w:t xml:space="preserve"> </w:t>
            </w:r>
            <w:r w:rsidRPr="00241EAE">
              <w:rPr>
                <w:sz w:val="16"/>
                <w:szCs w:val="16"/>
              </w:rPr>
              <w:t>year.</w:t>
            </w:r>
          </w:p>
          <w:p w14:paraId="23044207" w14:textId="7899C4D6" w:rsidR="00424566" w:rsidRPr="00241EAE" w:rsidRDefault="00424566" w:rsidP="001A4FEE">
            <w:pPr>
              <w:pStyle w:val="ListParagraph"/>
              <w:tabs>
                <w:tab w:val="left" w:pos="5494"/>
              </w:tabs>
              <w:kinsoku w:val="0"/>
              <w:overflowPunct w:val="0"/>
              <w:ind w:left="868" w:right="801" w:firstLine="0"/>
              <w:rPr>
                <w:sz w:val="16"/>
                <w:szCs w:val="16"/>
              </w:rPr>
            </w:pPr>
          </w:p>
          <w:p w14:paraId="64CF1A30" w14:textId="690E42EF" w:rsidR="00424566" w:rsidRPr="001A4FEE" w:rsidRDefault="004F1DA3" w:rsidP="00F75C52">
            <w:pPr>
              <w:pStyle w:val="ListParagraph"/>
              <w:numPr>
                <w:ilvl w:val="0"/>
                <w:numId w:val="4"/>
              </w:numPr>
              <w:tabs>
                <w:tab w:val="left" w:pos="5578"/>
              </w:tabs>
              <w:kinsoku w:val="0"/>
              <w:overflowPunct w:val="0"/>
              <w:ind w:right="145"/>
              <w:rPr>
                <w:sz w:val="16"/>
                <w:szCs w:val="16"/>
              </w:rPr>
            </w:pPr>
            <w:r w:rsidRPr="00241EAE">
              <w:rPr>
                <w:sz w:val="16"/>
                <w:szCs w:val="16"/>
              </w:rPr>
              <w:t xml:space="preserve">Source: Australian Bureau of Statistics, </w:t>
            </w:r>
            <w:r w:rsidR="00D246DD">
              <w:rPr>
                <w:sz w:val="16"/>
                <w:szCs w:val="16"/>
              </w:rPr>
              <w:t>as at 30 June 2023</w:t>
            </w:r>
            <w:r w:rsidRPr="00241EAE">
              <w:rPr>
                <w:sz w:val="16"/>
                <w:szCs w:val="16"/>
              </w:rPr>
              <w:t>.</w:t>
            </w:r>
          </w:p>
          <w:p w14:paraId="32F10EBC" w14:textId="7A686C79" w:rsidR="00424566" w:rsidRPr="001A4FEE" w:rsidRDefault="00424566" w:rsidP="001A4FEE">
            <w:pPr>
              <w:pStyle w:val="ListParagraph"/>
              <w:tabs>
                <w:tab w:val="left" w:pos="5578"/>
              </w:tabs>
              <w:kinsoku w:val="0"/>
              <w:overflowPunct w:val="0"/>
              <w:ind w:left="868" w:right="145" w:firstLine="0"/>
              <w:rPr>
                <w:sz w:val="16"/>
                <w:szCs w:val="16"/>
              </w:rPr>
            </w:pPr>
          </w:p>
          <w:p w14:paraId="0E27B00A" w14:textId="6345B2AA" w:rsidR="00241EAE" w:rsidRPr="00241EAE" w:rsidRDefault="00BD1019" w:rsidP="00F75C52">
            <w:pPr>
              <w:pStyle w:val="ListParagraph"/>
              <w:numPr>
                <w:ilvl w:val="0"/>
                <w:numId w:val="4"/>
              </w:numPr>
              <w:tabs>
                <w:tab w:val="left" w:pos="5578"/>
              </w:tabs>
              <w:kinsoku w:val="0"/>
              <w:overflowPunct w:val="0"/>
              <w:ind w:right="145"/>
              <w:rPr>
                <w:rFonts w:ascii="Times New Roman" w:hAnsi="Times New Roman" w:cs="Times New Roman"/>
                <w:sz w:val="21"/>
                <w:szCs w:val="21"/>
              </w:rPr>
            </w:pPr>
            <w:r w:rsidRPr="00241EAE">
              <w:rPr>
                <w:sz w:val="16"/>
                <w:szCs w:val="16"/>
              </w:rPr>
              <w:t>Source: Australian Bureau of Statistics</w:t>
            </w:r>
            <w:r>
              <w:rPr>
                <w:sz w:val="16"/>
                <w:szCs w:val="16"/>
              </w:rPr>
              <w:t>, r</w:t>
            </w:r>
            <w:r w:rsidR="004F1DA3" w:rsidRPr="001A4FEE">
              <w:rPr>
                <w:sz w:val="16"/>
                <w:szCs w:val="16"/>
              </w:rPr>
              <w:t>atio of over 65-year-olds</w:t>
            </w:r>
            <w:r w:rsidR="00D04E14" w:rsidRPr="001A4FEE">
              <w:rPr>
                <w:sz w:val="16"/>
                <w:szCs w:val="16"/>
              </w:rPr>
              <w:t>,</w:t>
            </w:r>
            <w:r w:rsidR="000E78EF" w:rsidRPr="001A4FEE">
              <w:rPr>
                <w:sz w:val="16"/>
                <w:szCs w:val="16"/>
              </w:rPr>
              <w:t xml:space="preserve"> June </w:t>
            </w:r>
            <w:r w:rsidR="7B407C6A" w:rsidRPr="001A4FEE">
              <w:rPr>
                <w:sz w:val="16"/>
                <w:szCs w:val="16"/>
              </w:rPr>
              <w:t>202</w:t>
            </w:r>
            <w:r>
              <w:rPr>
                <w:sz w:val="16"/>
                <w:szCs w:val="16"/>
              </w:rPr>
              <w:t>3</w:t>
            </w:r>
            <w:r w:rsidR="004F1DA3" w:rsidRPr="001A4FEE">
              <w:rPr>
                <w:sz w:val="16"/>
                <w:szCs w:val="16"/>
              </w:rPr>
              <w:t xml:space="preserve"> / labour</w:t>
            </w:r>
            <w:r w:rsidR="004F1DA3" w:rsidRPr="001A4FEE">
              <w:rPr>
                <w:spacing w:val="-1"/>
                <w:sz w:val="16"/>
                <w:szCs w:val="16"/>
              </w:rPr>
              <w:t xml:space="preserve"> </w:t>
            </w:r>
            <w:r w:rsidR="004F1DA3" w:rsidRPr="001A4FEE">
              <w:rPr>
                <w:sz w:val="16"/>
                <w:szCs w:val="16"/>
              </w:rPr>
              <w:t>force</w:t>
            </w:r>
            <w:r w:rsidR="00D04E14" w:rsidRPr="001A4FEE">
              <w:rPr>
                <w:sz w:val="16"/>
                <w:szCs w:val="16"/>
              </w:rPr>
              <w:t>,</w:t>
            </w:r>
            <w:r w:rsidR="000E78EF" w:rsidRPr="001A4FEE">
              <w:rPr>
                <w:sz w:val="16"/>
                <w:szCs w:val="16"/>
              </w:rPr>
              <w:t xml:space="preserve"> June </w:t>
            </w:r>
            <w:r w:rsidR="7B407C6A" w:rsidRPr="001A4FEE">
              <w:rPr>
                <w:sz w:val="16"/>
                <w:szCs w:val="16"/>
              </w:rPr>
              <w:t>202</w:t>
            </w:r>
            <w:r>
              <w:rPr>
                <w:sz w:val="16"/>
                <w:szCs w:val="16"/>
              </w:rPr>
              <w:t>3</w:t>
            </w:r>
            <w:r w:rsidR="004F1DA3" w:rsidRPr="001A4FEE">
              <w:rPr>
                <w:sz w:val="16"/>
                <w:szCs w:val="16"/>
              </w:rPr>
              <w:t>.</w:t>
            </w:r>
          </w:p>
        </w:tc>
      </w:tr>
    </w:tbl>
    <w:p w14:paraId="4CE91E47" w14:textId="03E3FF06" w:rsidR="0064260F" w:rsidRDefault="0064260F">
      <w:pPr>
        <w:pStyle w:val="BodyText"/>
        <w:kinsoku w:val="0"/>
        <w:overflowPunct w:val="0"/>
        <w:spacing w:before="4"/>
        <w:rPr>
          <w:sz w:val="28"/>
          <w:szCs w:val="28"/>
        </w:rPr>
      </w:pPr>
    </w:p>
    <w:p w14:paraId="3E26A867" w14:textId="77777777" w:rsidR="0064260F" w:rsidRPr="00241EAE" w:rsidRDefault="004F1DA3">
      <w:pPr>
        <w:pStyle w:val="Heading1"/>
        <w:kinsoku w:val="0"/>
        <w:overflowPunct w:val="0"/>
        <w:rPr>
          <w:color w:val="2E74B5"/>
        </w:rPr>
      </w:pPr>
      <w:r w:rsidRPr="00241EAE">
        <w:rPr>
          <w:color w:val="2E74B5"/>
        </w:rPr>
        <w:t>AUSTRALIA: COUNTRY PENSION DESIGN</w:t>
      </w:r>
    </w:p>
    <w:p w14:paraId="3E92FAFB" w14:textId="77777777" w:rsidR="00D200C9" w:rsidRPr="000D02CF" w:rsidRDefault="004F1DA3" w:rsidP="00D200C9">
      <w:pPr>
        <w:pStyle w:val="BodyText"/>
        <w:kinsoku w:val="0"/>
        <w:overflowPunct w:val="0"/>
        <w:spacing w:before="94"/>
        <w:rPr>
          <w:b/>
          <w:bCs/>
          <w:color w:val="2E74B5"/>
          <w:sz w:val="18"/>
          <w:szCs w:val="18"/>
        </w:rPr>
      </w:pPr>
      <w:r w:rsidRPr="000D02CF">
        <w:rPr>
          <w:b/>
          <w:color w:val="2E74B5"/>
        </w:rPr>
        <w:t>S</w:t>
      </w:r>
      <w:r w:rsidRPr="000D02CF">
        <w:rPr>
          <w:b/>
          <w:color w:val="2E74B5"/>
          <w:sz w:val="18"/>
        </w:rPr>
        <w:t>TRUCTURE OF THE PENSION SYSTEM</w:t>
      </w:r>
      <w:r w:rsidRPr="000D02CF">
        <w:rPr>
          <w:b/>
          <w:bCs/>
          <w:color w:val="2E74B5"/>
          <w:sz w:val="18"/>
          <w:szCs w:val="18"/>
        </w:rPr>
        <w:br/>
      </w:r>
    </w:p>
    <w:p w14:paraId="60061E4C" w14:textId="77777777" w:rsidR="0064260F" w:rsidRDefault="004F1DA3">
      <w:pPr>
        <w:pStyle w:val="BodyText"/>
        <w:kinsoku w:val="0"/>
        <w:overflowPunct w:val="0"/>
        <w:ind w:left="684"/>
        <w:rPr>
          <w:sz w:val="20"/>
          <w:szCs w:val="20"/>
        </w:rPr>
      </w:pPr>
      <w:r>
        <w:rPr>
          <w:noProof/>
          <w:sz w:val="20"/>
          <w:szCs w:val="20"/>
        </w:rPr>
        <w:drawing>
          <wp:inline distT="0" distB="0" distL="0" distR="0" wp14:anchorId="19E03746" wp14:editId="49B53C8A">
            <wp:extent cx="5314950" cy="3267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314950" cy="3267075"/>
                    </a:xfrm>
                    <a:prstGeom prst="rect">
                      <a:avLst/>
                    </a:prstGeom>
                    <a:noFill/>
                    <a:ln>
                      <a:noFill/>
                    </a:ln>
                  </pic:spPr>
                </pic:pic>
              </a:graphicData>
            </a:graphic>
          </wp:inline>
        </w:drawing>
      </w:r>
    </w:p>
    <w:p w14:paraId="44EAFD9C" w14:textId="77777777" w:rsidR="0064260F" w:rsidRDefault="0064260F">
      <w:pPr>
        <w:pStyle w:val="BodyText"/>
        <w:kinsoku w:val="0"/>
        <w:overflowPunct w:val="0"/>
        <w:spacing w:before="8"/>
        <w:rPr>
          <w:b/>
          <w:bCs/>
          <w:sz w:val="7"/>
          <w:szCs w:val="7"/>
        </w:rPr>
      </w:pPr>
    </w:p>
    <w:p w14:paraId="292D39C0" w14:textId="77777777" w:rsidR="00D200C9" w:rsidRDefault="004F1DA3">
      <w:pPr>
        <w:pStyle w:val="BodyText"/>
        <w:kinsoku w:val="0"/>
        <w:overflowPunct w:val="0"/>
        <w:spacing w:before="95"/>
        <w:ind w:left="130"/>
        <w:jc w:val="both"/>
        <w:rPr>
          <w:sz w:val="16"/>
          <w:szCs w:val="16"/>
        </w:rPr>
      </w:pPr>
      <w:r>
        <w:rPr>
          <w:sz w:val="16"/>
          <w:szCs w:val="16"/>
        </w:rPr>
        <w:t>Source: OECD/IOPS Global Pension Statistic</w:t>
      </w:r>
    </w:p>
    <w:p w14:paraId="2A6DCDD0" w14:textId="50EB4AED" w:rsidR="00CA0089" w:rsidRDefault="00CA0089" w:rsidP="00A95B82">
      <w:pPr>
        <w:pStyle w:val="BodyText"/>
        <w:kinsoku w:val="0"/>
        <w:overflowPunct w:val="0"/>
        <w:spacing w:before="95"/>
        <w:jc w:val="both"/>
      </w:pPr>
    </w:p>
    <w:p w14:paraId="45CADE17" w14:textId="30518414" w:rsidR="0064260F" w:rsidRPr="00241EAE" w:rsidRDefault="004F1DA3">
      <w:pPr>
        <w:pStyle w:val="Heading1"/>
        <w:kinsoku w:val="0"/>
        <w:overflowPunct w:val="0"/>
        <w:spacing w:before="152" w:line="490" w:lineRule="atLeast"/>
        <w:ind w:left="130" w:right="1494" w:firstLine="1358"/>
        <w:jc w:val="left"/>
        <w:rPr>
          <w:color w:val="2E74B5"/>
          <w:sz w:val="18"/>
          <w:szCs w:val="18"/>
        </w:rPr>
      </w:pPr>
      <w:r w:rsidRPr="00241EAE">
        <w:rPr>
          <w:color w:val="2E74B5"/>
        </w:rPr>
        <w:lastRenderedPageBreak/>
        <w:t>AUSTRALIA: THE PENSION SYSTEM’S KEY CHARACTERISTICS P</w:t>
      </w:r>
      <w:r w:rsidRPr="00241EAE">
        <w:rPr>
          <w:color w:val="2E74B5"/>
          <w:sz w:val="18"/>
          <w:szCs w:val="18"/>
        </w:rPr>
        <w:t>UBLIC PENSION</w:t>
      </w:r>
    </w:p>
    <w:p w14:paraId="74BB23A1" w14:textId="1D93B000" w:rsidR="00BC630F" w:rsidRDefault="004F1DA3">
      <w:pPr>
        <w:pStyle w:val="BodyText"/>
        <w:kinsoku w:val="0"/>
        <w:overflowPunct w:val="0"/>
        <w:spacing w:before="126"/>
        <w:ind w:left="130" w:right="140"/>
        <w:jc w:val="both"/>
      </w:pPr>
      <w:r>
        <w:t xml:space="preserve">The cost of the public pension - known as the Age Pension - is solely covered by Australian </w:t>
      </w:r>
      <w:r w:rsidR="00B864A6">
        <w:t>G</w:t>
      </w:r>
      <w:r>
        <w:t>overnment’s general revenue (i.e. there are no social security contributions in Australia). The eligibility age for men and women is currently</w:t>
      </w:r>
      <w:r w:rsidR="00BC630F">
        <w:t>:</w:t>
      </w:r>
    </w:p>
    <w:p w14:paraId="61244312" w14:textId="65ABB48A" w:rsidR="00BC630F" w:rsidRDefault="00BC630F" w:rsidP="00BC630F">
      <w:pPr>
        <w:pStyle w:val="BodyText"/>
        <w:numPr>
          <w:ilvl w:val="0"/>
          <w:numId w:val="5"/>
        </w:numPr>
        <w:kinsoku w:val="0"/>
        <w:overflowPunct w:val="0"/>
        <w:spacing w:before="126"/>
        <w:ind w:right="140"/>
        <w:jc w:val="both"/>
      </w:pPr>
      <w:r>
        <w:t>65 years and 6 months, if born between 1 July 1952 and 31 December 1953;</w:t>
      </w:r>
    </w:p>
    <w:p w14:paraId="4681E49D" w14:textId="0739F99D" w:rsidR="00BC630F" w:rsidRDefault="00BC630F" w:rsidP="00BC630F">
      <w:pPr>
        <w:pStyle w:val="BodyText"/>
        <w:numPr>
          <w:ilvl w:val="0"/>
          <w:numId w:val="5"/>
        </w:numPr>
        <w:kinsoku w:val="0"/>
        <w:overflowPunct w:val="0"/>
        <w:spacing w:before="126"/>
        <w:ind w:right="140"/>
        <w:jc w:val="both"/>
      </w:pPr>
      <w:r>
        <w:t xml:space="preserve">66 years, if born between </w:t>
      </w:r>
      <w:r w:rsidR="007404FD">
        <w:t>1 January 1954 and 30 June 1955;</w:t>
      </w:r>
    </w:p>
    <w:p w14:paraId="7E123673" w14:textId="175BF07B" w:rsidR="007404FD" w:rsidRDefault="007404FD" w:rsidP="00BC630F">
      <w:pPr>
        <w:pStyle w:val="BodyText"/>
        <w:numPr>
          <w:ilvl w:val="0"/>
          <w:numId w:val="5"/>
        </w:numPr>
        <w:kinsoku w:val="0"/>
        <w:overflowPunct w:val="0"/>
        <w:spacing w:before="126"/>
        <w:ind w:right="140"/>
        <w:jc w:val="both"/>
      </w:pPr>
      <w:r>
        <w:t>66 years and 6 months, if born between 1 July 1955 and 31 December 1956; and</w:t>
      </w:r>
    </w:p>
    <w:p w14:paraId="23C2CE93" w14:textId="49D8B508" w:rsidR="00BC630F" w:rsidRDefault="007404FD" w:rsidP="007075E5">
      <w:pPr>
        <w:pStyle w:val="BodyText"/>
        <w:numPr>
          <w:ilvl w:val="0"/>
          <w:numId w:val="5"/>
        </w:numPr>
        <w:kinsoku w:val="0"/>
        <w:overflowPunct w:val="0"/>
        <w:spacing w:before="126"/>
        <w:ind w:right="140"/>
        <w:jc w:val="both"/>
      </w:pPr>
      <w:r>
        <w:t>67 years</w:t>
      </w:r>
      <w:r w:rsidR="007075E5">
        <w:t>,</w:t>
      </w:r>
      <w:r>
        <w:t xml:space="preserve"> if </w:t>
      </w:r>
      <w:r w:rsidR="007075E5">
        <w:t xml:space="preserve">born on or after 1 January 1957. </w:t>
      </w:r>
    </w:p>
    <w:p w14:paraId="08B96BE0" w14:textId="0C274FD7" w:rsidR="0064260F" w:rsidRDefault="004F1DA3">
      <w:pPr>
        <w:pStyle w:val="BodyText"/>
        <w:kinsoku w:val="0"/>
        <w:overflowPunct w:val="0"/>
        <w:spacing w:before="126"/>
        <w:ind w:left="130" w:right="140"/>
        <w:jc w:val="both"/>
      </w:pPr>
      <w:r>
        <w:t xml:space="preserve">Individuals must </w:t>
      </w:r>
      <w:r w:rsidR="00BB7A3E">
        <w:t xml:space="preserve">have </w:t>
      </w:r>
      <w:r>
        <w:t>be</w:t>
      </w:r>
      <w:r w:rsidR="00BB7A3E">
        <w:t>en</w:t>
      </w:r>
      <w:r>
        <w:t xml:space="preserve"> an Australian resident for </w:t>
      </w:r>
      <w:r w:rsidR="00FB123A">
        <w:t xml:space="preserve">at least </w:t>
      </w:r>
      <w:r>
        <w:t>10 years</w:t>
      </w:r>
      <w:r w:rsidR="00BB7A3E">
        <w:t>,</w:t>
      </w:r>
      <w:r>
        <w:t xml:space="preserve"> with </w:t>
      </w:r>
      <w:r w:rsidR="00BB7A3E">
        <w:t>five</w:t>
      </w:r>
      <w:r>
        <w:t xml:space="preserve"> of those years being continuous.</w:t>
      </w:r>
      <w:r w:rsidR="00355AE7">
        <w:t xml:space="preserve"> However, some </w:t>
      </w:r>
      <w:r w:rsidR="005225FC">
        <w:t>individuals</w:t>
      </w:r>
      <w:r w:rsidR="00355AE7">
        <w:t xml:space="preserve"> </w:t>
      </w:r>
      <w:r w:rsidR="00484F47">
        <w:t>are exempt from this rule</w:t>
      </w:r>
      <w:r w:rsidR="00BB7A3E">
        <w:t>,</w:t>
      </w:r>
      <w:r w:rsidR="00FF6065">
        <w:t xml:space="preserve"> </w:t>
      </w:r>
      <w:r w:rsidR="00F35FE8">
        <w:t>for example,</w:t>
      </w:r>
      <w:r w:rsidR="00FF6065">
        <w:t xml:space="preserve"> refugees or former refugees</w:t>
      </w:r>
      <w:r w:rsidR="00484F47">
        <w:t>.</w:t>
      </w:r>
      <w:r w:rsidR="00FF6065">
        <w:t xml:space="preserve"> </w:t>
      </w:r>
      <w:r>
        <w:t xml:space="preserve">Income and assets tests are applied to target the pension to those with limited means. </w:t>
      </w:r>
      <w:r w:rsidRPr="00A17A00">
        <w:t>The maximum Age Pension benefit is</w:t>
      </w:r>
      <w:r>
        <w:t xml:space="preserve"> AUS</w:t>
      </w:r>
      <w:r w:rsidR="00464FC8">
        <w:t xml:space="preserve"> </w:t>
      </w:r>
      <w:r>
        <w:t>$</w:t>
      </w:r>
      <w:r w:rsidR="004C2841">
        <w:t>1</w:t>
      </w:r>
      <w:r w:rsidR="00D61C12">
        <w:t>,</w:t>
      </w:r>
      <w:r w:rsidR="00F94C4E">
        <w:t>116.30</w:t>
      </w:r>
      <w:r>
        <w:t xml:space="preserve"> per fortnight for a single person, and AUS</w:t>
      </w:r>
      <w:r w:rsidR="00464FC8">
        <w:t xml:space="preserve"> </w:t>
      </w:r>
      <w:r>
        <w:t>$</w:t>
      </w:r>
      <w:r w:rsidR="00464FC8">
        <w:t>841.40</w:t>
      </w:r>
      <w:r>
        <w:t xml:space="preserve"> per fortnight for each member of a couple. The value of the Age Pension is adjusted biannually to increases in prices and wages.</w:t>
      </w:r>
    </w:p>
    <w:p w14:paraId="3DEEC669" w14:textId="77777777" w:rsidR="0064260F" w:rsidRDefault="0064260F">
      <w:pPr>
        <w:pStyle w:val="BodyText"/>
        <w:kinsoku w:val="0"/>
        <w:overflowPunct w:val="0"/>
        <w:spacing w:before="8"/>
        <w:rPr>
          <w:sz w:val="20"/>
          <w:szCs w:val="20"/>
        </w:rPr>
      </w:pPr>
    </w:p>
    <w:p w14:paraId="35EEDCE4" w14:textId="77777777" w:rsidR="0064260F" w:rsidRPr="00241EAE" w:rsidRDefault="004F1DA3">
      <w:pPr>
        <w:pStyle w:val="BodyText"/>
        <w:kinsoku w:val="0"/>
        <w:overflowPunct w:val="0"/>
        <w:ind w:left="130"/>
        <w:jc w:val="both"/>
        <w:rPr>
          <w:b/>
          <w:bCs/>
          <w:color w:val="2E74B5"/>
          <w:sz w:val="18"/>
          <w:szCs w:val="18"/>
        </w:rPr>
      </w:pPr>
      <w:r w:rsidRPr="00241EAE">
        <w:rPr>
          <w:b/>
          <w:bCs/>
          <w:color w:val="2E74B5"/>
        </w:rPr>
        <w:t>O</w:t>
      </w:r>
      <w:r w:rsidRPr="00241EAE">
        <w:rPr>
          <w:b/>
          <w:bCs/>
          <w:color w:val="2E74B5"/>
          <w:sz w:val="18"/>
          <w:szCs w:val="18"/>
        </w:rPr>
        <w:t>CCUPATIONAL</w:t>
      </w:r>
      <w:r w:rsidRPr="00241EAE">
        <w:rPr>
          <w:b/>
          <w:bCs/>
          <w:color w:val="2E74B5"/>
        </w:rPr>
        <w:t>/P</w:t>
      </w:r>
      <w:r w:rsidRPr="00241EAE">
        <w:rPr>
          <w:b/>
          <w:bCs/>
          <w:color w:val="2E74B5"/>
          <w:sz w:val="18"/>
          <w:szCs w:val="18"/>
        </w:rPr>
        <w:t xml:space="preserve">ERSONAL </w:t>
      </w:r>
      <w:r w:rsidRPr="00241EAE">
        <w:rPr>
          <w:b/>
          <w:bCs/>
          <w:color w:val="2E74B5"/>
        </w:rPr>
        <w:t>M</w:t>
      </w:r>
      <w:r w:rsidRPr="00241EAE">
        <w:rPr>
          <w:b/>
          <w:bCs/>
          <w:color w:val="2E74B5"/>
          <w:sz w:val="18"/>
          <w:szCs w:val="18"/>
        </w:rPr>
        <w:t>ANDATORY</w:t>
      </w:r>
    </w:p>
    <w:p w14:paraId="3656B9AB" w14:textId="77777777" w:rsidR="0064260F" w:rsidRPr="00241EAE" w:rsidRDefault="0064260F">
      <w:pPr>
        <w:pStyle w:val="BodyText"/>
        <w:kinsoku w:val="0"/>
        <w:overflowPunct w:val="0"/>
        <w:rPr>
          <w:b/>
          <w:bCs/>
          <w:color w:val="2E74B5"/>
          <w:sz w:val="21"/>
          <w:szCs w:val="21"/>
        </w:rPr>
      </w:pPr>
    </w:p>
    <w:p w14:paraId="22234516" w14:textId="77777777" w:rsidR="0064260F" w:rsidRPr="00241EAE" w:rsidRDefault="004F1DA3">
      <w:pPr>
        <w:pStyle w:val="BodyText"/>
        <w:kinsoku w:val="0"/>
        <w:overflowPunct w:val="0"/>
        <w:ind w:left="130"/>
        <w:rPr>
          <w:i/>
          <w:iCs/>
          <w:color w:val="2E74B5"/>
        </w:rPr>
      </w:pPr>
      <w:r w:rsidRPr="00241EAE">
        <w:rPr>
          <w:i/>
          <w:iCs/>
          <w:color w:val="2E74B5"/>
        </w:rPr>
        <w:t>Coverage</w:t>
      </w:r>
    </w:p>
    <w:p w14:paraId="45FB0818" w14:textId="77777777" w:rsidR="0064260F" w:rsidRDefault="0064260F">
      <w:pPr>
        <w:pStyle w:val="BodyText"/>
        <w:kinsoku w:val="0"/>
        <w:overflowPunct w:val="0"/>
        <w:spacing w:before="9"/>
        <w:rPr>
          <w:i/>
          <w:iCs/>
          <w:sz w:val="20"/>
          <w:szCs w:val="20"/>
        </w:rPr>
      </w:pPr>
    </w:p>
    <w:p w14:paraId="44C91B70" w14:textId="58D29EAE" w:rsidR="0064260F" w:rsidRDefault="004F1DA3">
      <w:pPr>
        <w:pStyle w:val="BodyText"/>
        <w:kinsoku w:val="0"/>
        <w:overflowPunct w:val="0"/>
        <w:ind w:left="130" w:right="140"/>
        <w:jc w:val="both"/>
      </w:pPr>
      <w:r>
        <w:t xml:space="preserve">Employers </w:t>
      </w:r>
      <w:r w:rsidR="00F01590">
        <w:t>must</w:t>
      </w:r>
      <w:r>
        <w:t xml:space="preserve"> pay superannuation contributions for all eligible employed persons </w:t>
      </w:r>
      <w:r w:rsidR="00241DDE">
        <w:t xml:space="preserve">who </w:t>
      </w:r>
      <w:r>
        <w:t xml:space="preserve">are 18 years or over. </w:t>
      </w:r>
      <w:r w:rsidR="00A33397">
        <w:t xml:space="preserve">An </w:t>
      </w:r>
      <w:r>
        <w:t xml:space="preserve">employer must also pay if </w:t>
      </w:r>
      <w:r w:rsidR="004B03DB">
        <w:t xml:space="preserve">an </w:t>
      </w:r>
      <w:r>
        <w:t xml:space="preserve">individual is under 18 and </w:t>
      </w:r>
      <w:r w:rsidR="00896508">
        <w:t xml:space="preserve">is </w:t>
      </w:r>
      <w:r>
        <w:t>working more than 30 hours per week. Self-employed individuals participate on a voluntary basis.</w:t>
      </w:r>
    </w:p>
    <w:p w14:paraId="049F31CB" w14:textId="77777777" w:rsidR="0064260F" w:rsidRDefault="0064260F">
      <w:pPr>
        <w:pStyle w:val="BodyText"/>
        <w:kinsoku w:val="0"/>
        <w:overflowPunct w:val="0"/>
        <w:rPr>
          <w:sz w:val="21"/>
          <w:szCs w:val="21"/>
        </w:rPr>
      </w:pPr>
    </w:p>
    <w:p w14:paraId="15E79329" w14:textId="77777777" w:rsidR="0064260F" w:rsidRPr="00241EAE" w:rsidRDefault="004F1DA3">
      <w:pPr>
        <w:pStyle w:val="BodyText"/>
        <w:kinsoku w:val="0"/>
        <w:overflowPunct w:val="0"/>
        <w:ind w:left="130"/>
        <w:rPr>
          <w:i/>
          <w:iCs/>
          <w:color w:val="2E74B5"/>
        </w:rPr>
      </w:pPr>
      <w:r w:rsidRPr="00241EAE">
        <w:rPr>
          <w:i/>
          <w:iCs/>
          <w:color w:val="2E74B5"/>
        </w:rPr>
        <w:t>Contributions</w:t>
      </w:r>
    </w:p>
    <w:p w14:paraId="53128261" w14:textId="77777777" w:rsidR="0064260F" w:rsidRDefault="0064260F">
      <w:pPr>
        <w:pStyle w:val="BodyText"/>
        <w:kinsoku w:val="0"/>
        <w:overflowPunct w:val="0"/>
        <w:spacing w:before="9"/>
        <w:rPr>
          <w:i/>
          <w:iCs/>
          <w:sz w:val="20"/>
          <w:szCs w:val="20"/>
        </w:rPr>
      </w:pPr>
    </w:p>
    <w:p w14:paraId="4F8527DC" w14:textId="4ED5E5E0" w:rsidR="008134A1" w:rsidRDefault="004F1DA3" w:rsidP="00022D11">
      <w:pPr>
        <w:pStyle w:val="BodyText"/>
        <w:kinsoku w:val="0"/>
        <w:overflowPunct w:val="0"/>
        <w:ind w:left="130" w:right="142"/>
        <w:jc w:val="both"/>
      </w:pPr>
      <w:r>
        <w:t xml:space="preserve">For the financial year </w:t>
      </w:r>
      <w:r w:rsidR="007521DC">
        <w:t>ending</w:t>
      </w:r>
      <w:r>
        <w:t xml:space="preserve"> 30 June 202</w:t>
      </w:r>
      <w:r w:rsidR="007521DC">
        <w:t>4</w:t>
      </w:r>
      <w:r>
        <w:t xml:space="preserve">, the required contribution is </w:t>
      </w:r>
      <w:r w:rsidR="007521DC">
        <w:t>11</w:t>
      </w:r>
      <w:r w:rsidR="006E5926">
        <w:t xml:space="preserve"> per cent</w:t>
      </w:r>
      <w:r>
        <w:t xml:space="preserve"> of Ordinary Time Earnings (OTE) up to a maximum of AUS</w:t>
      </w:r>
      <w:r w:rsidR="0082149E">
        <w:t xml:space="preserve"> </w:t>
      </w:r>
      <w:r>
        <w:t>$</w:t>
      </w:r>
      <w:r w:rsidR="00974E15">
        <w:t>6</w:t>
      </w:r>
      <w:r w:rsidR="00165CA6">
        <w:t>2</w:t>
      </w:r>
      <w:r w:rsidR="00535A12">
        <w:t>,</w:t>
      </w:r>
      <w:r w:rsidR="00165CA6">
        <w:t>270</w:t>
      </w:r>
      <w:r>
        <w:t xml:space="preserve"> OTE per quarter (this maximum superannuation contributions base is indexed in line</w:t>
      </w:r>
      <w:r>
        <w:rPr>
          <w:spacing w:val="42"/>
        </w:rPr>
        <w:t xml:space="preserve"> </w:t>
      </w:r>
      <w:r>
        <w:t>with</w:t>
      </w:r>
      <w:r>
        <w:rPr>
          <w:spacing w:val="42"/>
        </w:rPr>
        <w:t xml:space="preserve"> </w:t>
      </w:r>
      <w:r>
        <w:t>Average</w:t>
      </w:r>
      <w:r>
        <w:rPr>
          <w:spacing w:val="36"/>
        </w:rPr>
        <w:t xml:space="preserve"> </w:t>
      </w:r>
      <w:r>
        <w:t>Weekly</w:t>
      </w:r>
      <w:r>
        <w:rPr>
          <w:spacing w:val="41"/>
        </w:rPr>
        <w:t xml:space="preserve"> </w:t>
      </w:r>
      <w:r w:rsidR="00E866E4">
        <w:t>OTE</w:t>
      </w:r>
      <w:r>
        <w:rPr>
          <w:spacing w:val="45"/>
        </w:rPr>
        <w:t xml:space="preserve"> </w:t>
      </w:r>
      <w:r>
        <w:t>each</w:t>
      </w:r>
      <w:r>
        <w:rPr>
          <w:spacing w:val="41"/>
        </w:rPr>
        <w:t xml:space="preserve"> </w:t>
      </w:r>
      <w:r>
        <w:t>income</w:t>
      </w:r>
      <w:r>
        <w:rPr>
          <w:spacing w:val="41"/>
        </w:rPr>
        <w:t xml:space="preserve"> </w:t>
      </w:r>
      <w:r>
        <w:t>year).</w:t>
      </w:r>
      <w:r>
        <w:rPr>
          <w:spacing w:val="40"/>
        </w:rPr>
        <w:t xml:space="preserve"> </w:t>
      </w:r>
      <w:r>
        <w:t>This</w:t>
      </w:r>
      <w:r>
        <w:rPr>
          <w:spacing w:val="41"/>
        </w:rPr>
        <w:t xml:space="preserve"> </w:t>
      </w:r>
      <w:r>
        <w:t>is</w:t>
      </w:r>
      <w:r>
        <w:rPr>
          <w:spacing w:val="42"/>
        </w:rPr>
        <w:t xml:space="preserve"> </w:t>
      </w:r>
      <w:r>
        <w:t>paid</w:t>
      </w:r>
      <w:r>
        <w:rPr>
          <w:spacing w:val="41"/>
        </w:rPr>
        <w:t xml:space="preserve"> </w:t>
      </w:r>
      <w:r>
        <w:t>solely</w:t>
      </w:r>
      <w:r>
        <w:rPr>
          <w:spacing w:val="41"/>
        </w:rPr>
        <w:t xml:space="preserve"> </w:t>
      </w:r>
      <w:r>
        <w:t>by</w:t>
      </w:r>
      <w:r w:rsidR="00022D11">
        <w:t xml:space="preserve"> </w:t>
      </w:r>
      <w:r>
        <w:t xml:space="preserve">employers, although employees may make voluntary contributions. From </w:t>
      </w:r>
      <w:r w:rsidR="00535A12">
        <w:t xml:space="preserve">1 </w:t>
      </w:r>
      <w:r>
        <w:t>July 20</w:t>
      </w:r>
      <w:r w:rsidR="0011000B">
        <w:t>21</w:t>
      </w:r>
      <w:r>
        <w:t>, concessional contributions, including employer and personal voluntary contributions, are subject to an annual cap of AUS</w:t>
      </w:r>
      <w:r w:rsidR="000B4D15">
        <w:t xml:space="preserve"> </w:t>
      </w:r>
      <w:r>
        <w:t>$2</w:t>
      </w:r>
      <w:r w:rsidR="0011000B">
        <w:t>7</w:t>
      </w:r>
      <w:r w:rsidR="000B4D15">
        <w:t>,</w:t>
      </w:r>
      <w:r w:rsidR="0011000B">
        <w:t>5</w:t>
      </w:r>
      <w:r>
        <w:t xml:space="preserve">00. </w:t>
      </w:r>
      <w:r w:rsidR="002E2959">
        <w:t xml:space="preserve">From 1 July 2018, </w:t>
      </w:r>
      <w:r w:rsidR="007B7BF2">
        <w:t>individuals</w:t>
      </w:r>
      <w:r>
        <w:t xml:space="preserve"> with a total superannuation balance of less than AUS</w:t>
      </w:r>
      <w:r w:rsidR="000B4D15">
        <w:t xml:space="preserve"> </w:t>
      </w:r>
      <w:r>
        <w:t>$500</w:t>
      </w:r>
      <w:r w:rsidR="000B4D15">
        <w:t>,</w:t>
      </w:r>
      <w:r>
        <w:t xml:space="preserve">000 are also able to make ‘catch-up’ superannuation contributions by carrying forward unused concessional cap space amounts. These unused caps can be used on a rolling basis for a period of five years. </w:t>
      </w:r>
    </w:p>
    <w:p w14:paraId="2D74823A" w14:textId="77777777" w:rsidR="008134A1" w:rsidRDefault="008134A1" w:rsidP="00022D11">
      <w:pPr>
        <w:pStyle w:val="BodyText"/>
        <w:kinsoku w:val="0"/>
        <w:overflowPunct w:val="0"/>
        <w:ind w:left="130" w:right="142"/>
        <w:jc w:val="both"/>
      </w:pPr>
    </w:p>
    <w:p w14:paraId="52CCD2A2" w14:textId="6CFDE2C8" w:rsidR="0064260F" w:rsidRDefault="004F1DA3" w:rsidP="00022D11">
      <w:pPr>
        <w:pStyle w:val="BodyText"/>
        <w:kinsoku w:val="0"/>
        <w:overflowPunct w:val="0"/>
        <w:ind w:left="130" w:right="142"/>
        <w:jc w:val="both"/>
      </w:pPr>
      <w:r>
        <w:t>From 1 July 20</w:t>
      </w:r>
      <w:r w:rsidR="009E0792">
        <w:t>22</w:t>
      </w:r>
      <w:r>
        <w:t>, individuals under the age of 75 are able to make non-concessional contributions into their superannuation funds up to an annual cap of AUS</w:t>
      </w:r>
      <w:r w:rsidR="00A65E05">
        <w:t xml:space="preserve"> </w:t>
      </w:r>
      <w:r>
        <w:t>$1</w:t>
      </w:r>
      <w:r w:rsidR="009E0792">
        <w:t>1</w:t>
      </w:r>
      <w:r>
        <w:t>0</w:t>
      </w:r>
      <w:r w:rsidR="00A65E05">
        <w:t>,</w:t>
      </w:r>
      <w:r>
        <w:t>000</w:t>
      </w:r>
      <w:r w:rsidR="008134A1">
        <w:t xml:space="preserve"> and </w:t>
      </w:r>
      <w:r w:rsidR="00FC1DD4">
        <w:t xml:space="preserve">are </w:t>
      </w:r>
      <w:r w:rsidR="008134A1">
        <w:t xml:space="preserve">also </w:t>
      </w:r>
      <w:r>
        <w:t>eligible to bring forward up to three years of non-</w:t>
      </w:r>
      <w:r w:rsidR="009E0792">
        <w:t>concessional</w:t>
      </w:r>
      <w:r>
        <w:t xml:space="preserve"> contributions. Individuals with a balance of AUS</w:t>
      </w:r>
      <w:r w:rsidR="00A46165">
        <w:t xml:space="preserve"> </w:t>
      </w:r>
      <w:r>
        <w:t>$1.</w:t>
      </w:r>
      <w:r w:rsidR="00C34C57">
        <w:t>7</w:t>
      </w:r>
      <w:r>
        <w:t xml:space="preserve"> million or over will no longer be able to make non-concessional</w:t>
      </w:r>
      <w:r>
        <w:rPr>
          <w:spacing w:val="-6"/>
        </w:rPr>
        <w:t xml:space="preserve"> </w:t>
      </w:r>
      <w:r>
        <w:t>contributions.</w:t>
      </w:r>
    </w:p>
    <w:p w14:paraId="62486C05" w14:textId="77777777" w:rsidR="0064260F" w:rsidRDefault="0064260F">
      <w:pPr>
        <w:pStyle w:val="BodyText"/>
        <w:kinsoku w:val="0"/>
        <w:overflowPunct w:val="0"/>
        <w:spacing w:before="9"/>
        <w:rPr>
          <w:sz w:val="20"/>
          <w:szCs w:val="20"/>
        </w:rPr>
      </w:pPr>
    </w:p>
    <w:p w14:paraId="27C906B8" w14:textId="402AFB59" w:rsidR="0064260F" w:rsidRDefault="004F1DA3">
      <w:pPr>
        <w:pStyle w:val="BodyText"/>
        <w:kinsoku w:val="0"/>
        <w:overflowPunct w:val="0"/>
        <w:spacing w:before="1"/>
        <w:ind w:left="130" w:right="142"/>
        <w:jc w:val="both"/>
      </w:pPr>
      <w:r>
        <w:t>The Government provides a contribution up to AUS</w:t>
      </w:r>
      <w:r w:rsidR="006C3611">
        <w:t xml:space="preserve"> </w:t>
      </w:r>
      <w:r>
        <w:t>$500 to eligible individuals with taxable incomes up to AUS</w:t>
      </w:r>
      <w:r w:rsidR="006C3611">
        <w:t xml:space="preserve"> </w:t>
      </w:r>
      <w:r>
        <w:t>$37</w:t>
      </w:r>
      <w:r w:rsidR="006C3611">
        <w:t>,</w:t>
      </w:r>
      <w:r>
        <w:t>000, to effectively refund the contributions tax their superannuation fund</w:t>
      </w:r>
      <w:r w:rsidR="00B11F78">
        <w:t>s</w:t>
      </w:r>
      <w:r>
        <w:t xml:space="preserve"> pay on their concessional contributions. This is through the Low Income </w:t>
      </w:r>
      <w:r w:rsidR="001E3F97">
        <w:t>Superannuation Tax</w:t>
      </w:r>
      <w:r>
        <w:t xml:space="preserve"> Offset (LISTO).</w:t>
      </w:r>
    </w:p>
    <w:p w14:paraId="4101652C" w14:textId="77777777" w:rsidR="0064260F" w:rsidRDefault="0064260F">
      <w:pPr>
        <w:pStyle w:val="BodyText"/>
        <w:kinsoku w:val="0"/>
        <w:overflowPunct w:val="0"/>
        <w:spacing w:before="10"/>
        <w:rPr>
          <w:sz w:val="20"/>
          <w:szCs w:val="20"/>
        </w:rPr>
      </w:pPr>
    </w:p>
    <w:p w14:paraId="2750B7B0" w14:textId="7D9004EB" w:rsidR="00E43F0C" w:rsidRDefault="004F1DA3">
      <w:pPr>
        <w:pStyle w:val="BodyText"/>
        <w:kinsoku w:val="0"/>
        <w:overflowPunct w:val="0"/>
        <w:ind w:left="130" w:right="149"/>
        <w:jc w:val="both"/>
      </w:pPr>
      <w:r>
        <w:t xml:space="preserve">The Government also offers a tax offset to individuals who make </w:t>
      </w:r>
      <w:r w:rsidR="000617B4">
        <w:t>contributions</w:t>
      </w:r>
      <w:r>
        <w:t xml:space="preserve"> to the superannuation of their </w:t>
      </w:r>
      <w:r w:rsidR="000617B4">
        <w:t>low-income</w:t>
      </w:r>
      <w:r>
        <w:t xml:space="preserve"> spouses. From 1 July 201</w:t>
      </w:r>
      <w:r w:rsidR="00166BDA">
        <w:t>8</w:t>
      </w:r>
      <w:r w:rsidR="000617B4">
        <w:t>,</w:t>
      </w:r>
      <w:r>
        <w:t xml:space="preserve"> </w:t>
      </w:r>
      <w:r w:rsidR="008302D3">
        <w:t>individuals</w:t>
      </w:r>
      <w:r>
        <w:t xml:space="preserve"> </w:t>
      </w:r>
      <w:r w:rsidR="007E6788">
        <w:t>can claim</w:t>
      </w:r>
      <w:r>
        <w:t xml:space="preserve"> a tax offset of 18 per cent (up to a maximum of AUS</w:t>
      </w:r>
      <w:r w:rsidR="006C3611">
        <w:t xml:space="preserve"> </w:t>
      </w:r>
      <w:r>
        <w:t>$540) if their spouse earns AUS</w:t>
      </w:r>
      <w:r w:rsidR="006C3611">
        <w:t xml:space="preserve"> </w:t>
      </w:r>
      <w:r>
        <w:t>$40</w:t>
      </w:r>
      <w:r w:rsidR="007E6788">
        <w:t>,</w:t>
      </w:r>
      <w:r>
        <w:t>000 or</w:t>
      </w:r>
      <w:r>
        <w:rPr>
          <w:spacing w:val="-14"/>
        </w:rPr>
        <w:t xml:space="preserve"> </w:t>
      </w:r>
      <w:r>
        <w:t>less.</w:t>
      </w:r>
    </w:p>
    <w:p w14:paraId="1299C43A" w14:textId="3BF5F33E" w:rsidR="0064260F" w:rsidRPr="00F75C52" w:rsidRDefault="0064260F" w:rsidP="00F75C52">
      <w:pPr>
        <w:pStyle w:val="BodyText"/>
        <w:kinsoku w:val="0"/>
        <w:overflowPunct w:val="0"/>
        <w:ind w:right="149"/>
        <w:jc w:val="both"/>
      </w:pPr>
    </w:p>
    <w:p w14:paraId="5784E978" w14:textId="77777777" w:rsidR="0064260F" w:rsidRPr="00241EAE" w:rsidRDefault="004F1DA3">
      <w:pPr>
        <w:pStyle w:val="BodyText"/>
        <w:kinsoku w:val="0"/>
        <w:overflowPunct w:val="0"/>
        <w:spacing w:before="1"/>
        <w:ind w:left="130"/>
        <w:rPr>
          <w:i/>
          <w:iCs/>
          <w:color w:val="2E74B5"/>
        </w:rPr>
      </w:pPr>
      <w:r w:rsidRPr="00241EAE">
        <w:rPr>
          <w:i/>
          <w:iCs/>
          <w:color w:val="2E74B5"/>
        </w:rPr>
        <w:t>Benefits</w:t>
      </w:r>
    </w:p>
    <w:p w14:paraId="4DDBEF00" w14:textId="77777777" w:rsidR="0064260F" w:rsidRDefault="0064260F">
      <w:pPr>
        <w:pStyle w:val="BodyText"/>
        <w:kinsoku w:val="0"/>
        <w:overflowPunct w:val="0"/>
        <w:spacing w:before="8"/>
        <w:rPr>
          <w:i/>
          <w:iCs/>
          <w:sz w:val="20"/>
          <w:szCs w:val="20"/>
        </w:rPr>
      </w:pPr>
    </w:p>
    <w:p w14:paraId="061A2B6A" w14:textId="4B375195" w:rsidR="0064260F" w:rsidRDefault="004F1DA3">
      <w:pPr>
        <w:pStyle w:val="BodyText"/>
        <w:kinsoku w:val="0"/>
        <w:overflowPunct w:val="0"/>
        <w:spacing w:before="1"/>
        <w:ind w:left="130" w:right="141" w:firstLine="441"/>
        <w:jc w:val="both"/>
      </w:pPr>
      <w:r>
        <w:t>Although some defined benefit schemes do still exist, most funds are now defined contribution occupational pension plans</w:t>
      </w:r>
      <w:r w:rsidR="00FD652B">
        <w:t xml:space="preserve"> </w:t>
      </w:r>
      <w:r w:rsidR="00FD652B" w:rsidRPr="00363B90">
        <w:t xml:space="preserve">(these are funds where the final retirement benefit </w:t>
      </w:r>
      <w:r w:rsidR="00C50BDF" w:rsidRPr="001A4FEE">
        <w:t>payable to members is based upon contributions</w:t>
      </w:r>
      <w:r w:rsidR="00363B90" w:rsidRPr="001A4FEE">
        <w:t xml:space="preserve"> made plus investment returns </w:t>
      </w:r>
      <w:r w:rsidR="00FA7A6A">
        <w:t>[</w:t>
      </w:r>
      <w:r w:rsidR="00363B90" w:rsidRPr="001A4FEE">
        <w:t>if any</w:t>
      </w:r>
      <w:r w:rsidR="00FA7A6A">
        <w:t>]</w:t>
      </w:r>
      <w:r w:rsidR="00363B90" w:rsidRPr="001A4FEE">
        <w:t>, less any fees and taxes)</w:t>
      </w:r>
      <w:r w:rsidRPr="00363B90">
        <w:t>.</w:t>
      </w:r>
      <w:r>
        <w:t xml:space="preserve"> Benefits are fully funded and portable. Benefits are withdrawn in the form of a lump sum or income stream once members reach preservation age and are permanently retired</w:t>
      </w:r>
      <w:r>
        <w:rPr>
          <w:sz w:val="28"/>
          <w:szCs w:val="28"/>
        </w:rPr>
        <w:t xml:space="preserve">. </w:t>
      </w:r>
      <w:r>
        <w:t>Preservation age is 55 years for people born before 1 July 1960, but increases gradually for people born after that date, so that preservation age is 60 years for people born after 30 June</w:t>
      </w:r>
      <w:r>
        <w:rPr>
          <w:spacing w:val="-1"/>
        </w:rPr>
        <w:t xml:space="preserve"> </w:t>
      </w:r>
      <w:r>
        <w:t>1964.</w:t>
      </w:r>
    </w:p>
    <w:p w14:paraId="3461D779" w14:textId="77777777" w:rsidR="0064260F" w:rsidRDefault="0064260F">
      <w:pPr>
        <w:pStyle w:val="BodyText"/>
        <w:kinsoku w:val="0"/>
        <w:overflowPunct w:val="0"/>
        <w:rPr>
          <w:sz w:val="21"/>
          <w:szCs w:val="21"/>
        </w:rPr>
      </w:pPr>
    </w:p>
    <w:p w14:paraId="6F4B86BD" w14:textId="2441A529" w:rsidR="0064260F" w:rsidRDefault="004F1DA3">
      <w:pPr>
        <w:pStyle w:val="BodyText"/>
        <w:kinsoku w:val="0"/>
        <w:overflowPunct w:val="0"/>
        <w:ind w:left="130" w:right="144"/>
        <w:jc w:val="both"/>
      </w:pPr>
      <w:r>
        <w:t>The Government has never fully funded its public sector superannuation liabilities in relation to defined benefit schemes. A financial asset fund, known as the Future Fund, was established in 2006 with the main objective of making provision for projected public sector unfunded superannuation liabilities in the future.</w:t>
      </w:r>
    </w:p>
    <w:p w14:paraId="3CF2D8B6" w14:textId="77777777" w:rsidR="0064260F" w:rsidRDefault="0064260F">
      <w:pPr>
        <w:pStyle w:val="BodyText"/>
        <w:kinsoku w:val="0"/>
        <w:overflowPunct w:val="0"/>
        <w:spacing w:before="9"/>
        <w:rPr>
          <w:sz w:val="20"/>
          <w:szCs w:val="20"/>
        </w:rPr>
      </w:pPr>
    </w:p>
    <w:p w14:paraId="5321C4C2" w14:textId="77777777" w:rsidR="0064260F" w:rsidRPr="00241EAE" w:rsidRDefault="004F1DA3">
      <w:pPr>
        <w:pStyle w:val="BodyText"/>
        <w:kinsoku w:val="0"/>
        <w:overflowPunct w:val="0"/>
        <w:ind w:left="193"/>
        <w:rPr>
          <w:i/>
          <w:iCs/>
          <w:color w:val="2E74B5"/>
        </w:rPr>
      </w:pPr>
      <w:r w:rsidRPr="00241EAE">
        <w:rPr>
          <w:i/>
          <w:iCs/>
          <w:color w:val="2E74B5"/>
        </w:rPr>
        <w:t>Taxation</w:t>
      </w:r>
    </w:p>
    <w:p w14:paraId="0FB78278" w14:textId="77777777" w:rsidR="0064260F" w:rsidRDefault="0064260F">
      <w:pPr>
        <w:pStyle w:val="BodyText"/>
        <w:kinsoku w:val="0"/>
        <w:overflowPunct w:val="0"/>
        <w:rPr>
          <w:i/>
          <w:iCs/>
          <w:sz w:val="21"/>
          <w:szCs w:val="21"/>
        </w:rPr>
      </w:pPr>
    </w:p>
    <w:p w14:paraId="146ECCDA" w14:textId="531B04D9" w:rsidR="0064260F" w:rsidRDefault="004F1DA3">
      <w:pPr>
        <w:pStyle w:val="BodyText"/>
        <w:kinsoku w:val="0"/>
        <w:overflowPunct w:val="0"/>
        <w:ind w:left="130" w:right="140" w:firstLine="441"/>
        <w:jc w:val="both"/>
      </w:pPr>
      <w:r>
        <w:t xml:space="preserve">Concessional contributions are taxed at 15 per cent in the superannuation fund. Any excess </w:t>
      </w:r>
      <w:r w:rsidR="00F95B65">
        <w:t xml:space="preserve">concessional contributions above the contribution cap of AUS $27,500 </w:t>
      </w:r>
      <w:r>
        <w:t xml:space="preserve">are taxed at </w:t>
      </w:r>
      <w:r w:rsidR="002E2DA1">
        <w:t xml:space="preserve">an </w:t>
      </w:r>
      <w:r w:rsidR="0017118A">
        <w:t>individual’s</w:t>
      </w:r>
      <w:r>
        <w:t xml:space="preserve"> marginal tax rate plus </w:t>
      </w:r>
      <w:r w:rsidR="001A0BED">
        <w:t>relevant levies, less an offset for tax payable by the fund</w:t>
      </w:r>
      <w:r w:rsidR="00321126">
        <w:t>. The individual may choose to pay this tax by withdrawing amounts from the fund</w:t>
      </w:r>
      <w:r>
        <w:t>. From 1 July 2017, individuals with an income over AUS</w:t>
      </w:r>
      <w:r w:rsidR="00C710F2">
        <w:t xml:space="preserve"> </w:t>
      </w:r>
      <w:r>
        <w:t>$250</w:t>
      </w:r>
      <w:r w:rsidR="00C710F2">
        <w:t>,</w:t>
      </w:r>
      <w:r>
        <w:t xml:space="preserve">000 also pay an additional Division 293 tax of 15 per cent on concessional contributions. Non-concessional contributions are not taxed in the </w:t>
      </w:r>
      <w:r w:rsidR="00F2570A">
        <w:t>superannuation</w:t>
      </w:r>
      <w:r>
        <w:t xml:space="preserve"> fund, reflecting that these contributions generally come from income that has been taxed at the individual’s marginal tax rate. Excess non-concessional contributions above AUS</w:t>
      </w:r>
      <w:r w:rsidR="00C710F2">
        <w:t xml:space="preserve"> </w:t>
      </w:r>
      <w:r>
        <w:t>$1</w:t>
      </w:r>
      <w:r w:rsidR="00A53D36">
        <w:t>1</w:t>
      </w:r>
      <w:r>
        <w:t>0</w:t>
      </w:r>
      <w:r w:rsidR="00C710F2">
        <w:t>,</w:t>
      </w:r>
      <w:r>
        <w:t>000 are also levied with an excess contributions charge. Earnings from investment in the superannuation fund are taxed at 15 per</w:t>
      </w:r>
      <w:r>
        <w:rPr>
          <w:spacing w:val="-12"/>
        </w:rPr>
        <w:t xml:space="preserve"> </w:t>
      </w:r>
      <w:r>
        <w:t>cent.</w:t>
      </w:r>
    </w:p>
    <w:p w14:paraId="1FC39945" w14:textId="77777777" w:rsidR="0064260F" w:rsidRDefault="0064260F">
      <w:pPr>
        <w:pStyle w:val="BodyText"/>
        <w:kinsoku w:val="0"/>
        <w:overflowPunct w:val="0"/>
        <w:spacing w:before="9"/>
        <w:rPr>
          <w:sz w:val="20"/>
          <w:szCs w:val="20"/>
        </w:rPr>
      </w:pPr>
    </w:p>
    <w:p w14:paraId="16CB204A" w14:textId="7DC935F0" w:rsidR="0064260F" w:rsidRPr="0010636B" w:rsidRDefault="004F1DA3" w:rsidP="0010636B">
      <w:pPr>
        <w:pStyle w:val="BodyText"/>
        <w:kinsoku w:val="0"/>
        <w:overflowPunct w:val="0"/>
        <w:ind w:left="130" w:right="144" w:firstLine="441"/>
        <w:jc w:val="both"/>
        <w:rPr>
          <w:sz w:val="18"/>
          <w:szCs w:val="18"/>
        </w:rPr>
      </w:pPr>
      <w:r w:rsidRPr="00C24416">
        <w:t>Since 1 July 2007, superannuation benefits paid from a taxed source (that is, where tax has been paid on contributions and earnings), either as an income stream or as a lump sum, are tax</w:t>
      </w:r>
      <w:r w:rsidR="00C64D7B" w:rsidRPr="00C24416">
        <w:t>-</w:t>
      </w:r>
      <w:r w:rsidRPr="00C24416">
        <w:t>free for people aged 60 and over.</w:t>
      </w:r>
      <w:r>
        <w:t xml:space="preserve"> Where benefits are paid from a taxed source to a person below the age of 60, those benefits are subject to taxation. Benefits paid from untaxed schemes (mainly</w:t>
      </w:r>
      <w:r w:rsidR="0010636B">
        <w:rPr>
          <w:sz w:val="18"/>
          <w:szCs w:val="18"/>
        </w:rPr>
        <w:t xml:space="preserve"> </w:t>
      </w:r>
      <w:r>
        <w:t>affecting public servants) are also taxed, but at reduced rates when paid to those aged 60 or over.</w:t>
      </w:r>
    </w:p>
    <w:p w14:paraId="0562CB0E" w14:textId="77777777" w:rsidR="0064260F" w:rsidRDefault="0064260F">
      <w:pPr>
        <w:pStyle w:val="BodyText"/>
        <w:kinsoku w:val="0"/>
        <w:overflowPunct w:val="0"/>
        <w:spacing w:before="8"/>
        <w:rPr>
          <w:sz w:val="20"/>
          <w:szCs w:val="20"/>
        </w:rPr>
      </w:pPr>
    </w:p>
    <w:p w14:paraId="03194AC7" w14:textId="66333B8B" w:rsidR="0064260F" w:rsidRDefault="004F1DA3" w:rsidP="0010636B">
      <w:pPr>
        <w:pStyle w:val="BodyText"/>
        <w:kinsoku w:val="0"/>
        <w:overflowPunct w:val="0"/>
        <w:ind w:left="130" w:right="142" w:firstLine="441"/>
        <w:jc w:val="both"/>
      </w:pPr>
      <w:r>
        <w:t>The Government has legislated that from 1 July 2017</w:t>
      </w:r>
      <w:r w:rsidR="00594D4E">
        <w:t>,</w:t>
      </w:r>
      <w:r>
        <w:t xml:space="preserve"> there will be a cap on the total amount of superannuation savings that can be transferred to the (tax-free earnings) retirement account phase. </w:t>
      </w:r>
      <w:r w:rsidR="001A74B4">
        <w:t>From</w:t>
      </w:r>
      <w:r w:rsidR="005407DE">
        <w:t xml:space="preserve"> 1 July 2021</w:t>
      </w:r>
      <w:r w:rsidR="001A74B4">
        <w:t>, this cap is AUS</w:t>
      </w:r>
      <w:r w:rsidR="004D7596">
        <w:t xml:space="preserve"> </w:t>
      </w:r>
      <w:r w:rsidR="001A74B4">
        <w:t>$1.7 million</w:t>
      </w:r>
      <w:r w:rsidR="00B47508">
        <w:t xml:space="preserve"> and</w:t>
      </w:r>
      <w:r w:rsidR="00306AA6">
        <w:t xml:space="preserve"> has been</w:t>
      </w:r>
      <w:r w:rsidR="00B47508">
        <w:t xml:space="preserve"> increased to $1.9 million for 2023</w:t>
      </w:r>
      <w:r w:rsidR="00306AA6">
        <w:t>-24</w:t>
      </w:r>
      <w:r w:rsidR="001A74B4">
        <w:t xml:space="preserve">. </w:t>
      </w:r>
      <w:r>
        <w:t>The cap will index in line with the consumer prices index in AUS</w:t>
      </w:r>
      <w:r w:rsidR="004D7596">
        <w:t xml:space="preserve"> </w:t>
      </w:r>
      <w:r>
        <w:t>$100</w:t>
      </w:r>
      <w:r w:rsidR="004D7596">
        <w:t>,</w:t>
      </w:r>
      <w:r>
        <w:t>000 increments. This is not a cap on the amount of superannuation in the retirement phase – earnings in the retirement phase can grow above AUS</w:t>
      </w:r>
      <w:r w:rsidR="00A81FDF">
        <w:t xml:space="preserve"> </w:t>
      </w:r>
      <w:r>
        <w:t>$1.</w:t>
      </w:r>
      <w:r w:rsidR="005407DE">
        <w:t>7</w:t>
      </w:r>
      <w:r>
        <w:t xml:space="preserve"> million, but no more than AUS</w:t>
      </w:r>
      <w:r w:rsidR="00A81FDF">
        <w:t xml:space="preserve"> </w:t>
      </w:r>
      <w:r>
        <w:t>$1.</w:t>
      </w:r>
      <w:r w:rsidR="005407DE">
        <w:t>7</w:t>
      </w:r>
      <w:r>
        <w:t xml:space="preserve"> million can be transferred to the retirement phase</w:t>
      </w:r>
      <w:r w:rsidR="00306AA6">
        <w:t xml:space="preserve"> (for the year 2021-22)</w:t>
      </w:r>
      <w:r>
        <w:t xml:space="preserve">. Superannuation savings accumulations </w:t>
      </w:r>
      <w:r w:rsidR="005407DE">
        <w:t>exceeding</w:t>
      </w:r>
      <w:r>
        <w:t xml:space="preserve"> the cap can either remain in an accumulation superannuation account, where the earnings are taxed at 15 per cent, or be removed from the superannuation environment. Members who breach the cap will be liable to pay tax on the notional earnings attributed to the excess</w:t>
      </w:r>
      <w:r>
        <w:rPr>
          <w:spacing w:val="-7"/>
        </w:rPr>
        <w:t xml:space="preserve"> </w:t>
      </w:r>
      <w:r>
        <w:t>capital.</w:t>
      </w:r>
    </w:p>
    <w:p w14:paraId="34CE0A41" w14:textId="77777777" w:rsidR="0064260F" w:rsidRDefault="0064260F">
      <w:pPr>
        <w:pStyle w:val="BodyText"/>
        <w:kinsoku w:val="0"/>
        <w:overflowPunct w:val="0"/>
        <w:spacing w:before="10"/>
        <w:rPr>
          <w:sz w:val="20"/>
          <w:szCs w:val="20"/>
        </w:rPr>
      </w:pPr>
    </w:p>
    <w:p w14:paraId="54D90EDA" w14:textId="77777777" w:rsidR="0064260F" w:rsidRPr="00241EAE" w:rsidRDefault="004F1DA3">
      <w:pPr>
        <w:pStyle w:val="BodyText"/>
        <w:kinsoku w:val="0"/>
        <w:overflowPunct w:val="0"/>
        <w:ind w:left="130"/>
        <w:rPr>
          <w:b/>
          <w:bCs/>
          <w:color w:val="2E74B5"/>
          <w:sz w:val="18"/>
          <w:szCs w:val="18"/>
        </w:rPr>
      </w:pPr>
      <w:r w:rsidRPr="00241EAE">
        <w:rPr>
          <w:b/>
          <w:bCs/>
          <w:color w:val="2E74B5"/>
        </w:rPr>
        <w:t>O</w:t>
      </w:r>
      <w:r w:rsidRPr="00241EAE">
        <w:rPr>
          <w:b/>
          <w:bCs/>
          <w:color w:val="2E74B5"/>
          <w:sz w:val="18"/>
          <w:szCs w:val="18"/>
        </w:rPr>
        <w:t>CCUPATIONAL VOLUNTARY</w:t>
      </w:r>
    </w:p>
    <w:p w14:paraId="788ECBE7" w14:textId="77777777" w:rsidR="0064260F" w:rsidRDefault="004F1DA3">
      <w:pPr>
        <w:pStyle w:val="BodyText"/>
        <w:kinsoku w:val="0"/>
        <w:overflowPunct w:val="0"/>
        <w:spacing w:before="122"/>
        <w:ind w:left="130" w:right="144" w:firstLine="441"/>
        <w:jc w:val="both"/>
      </w:pPr>
      <w:r>
        <w:t>Voluntary personal superannuation contributions may also be paid into existing employer superannuation funds or into separate plans.</w:t>
      </w:r>
    </w:p>
    <w:p w14:paraId="62EBF3C5" w14:textId="77777777" w:rsidR="0064260F" w:rsidRDefault="0064260F">
      <w:pPr>
        <w:pStyle w:val="BodyText"/>
        <w:kinsoku w:val="0"/>
        <w:overflowPunct w:val="0"/>
        <w:spacing w:before="10"/>
        <w:rPr>
          <w:sz w:val="20"/>
          <w:szCs w:val="20"/>
        </w:rPr>
      </w:pPr>
    </w:p>
    <w:p w14:paraId="4D899AC0" w14:textId="77777777" w:rsidR="0064260F" w:rsidRDefault="004F1DA3">
      <w:pPr>
        <w:pStyle w:val="BodyText"/>
        <w:kinsoku w:val="0"/>
        <w:overflowPunct w:val="0"/>
        <w:ind w:left="130" w:right="146" w:firstLine="441"/>
        <w:jc w:val="both"/>
      </w:pPr>
      <w:r>
        <w:t>Individuals are able to make voluntary concessional contributions through their employer (if the employer offers) to their superannuation accounts through salary sacrifice arrangements. The employee is able to forego part of their future entitlement to salary or wages to be paid into their superannuation account. This sacrificed component of their total salary package is not counted as assessable income for tax purposes and is taxed at a maximum rate of 15 per</w:t>
      </w:r>
      <w:r>
        <w:rPr>
          <w:spacing w:val="-16"/>
        </w:rPr>
        <w:t xml:space="preserve"> </w:t>
      </w:r>
      <w:r>
        <w:t>cent.</w:t>
      </w:r>
    </w:p>
    <w:p w14:paraId="6D98A12B" w14:textId="77777777" w:rsidR="0064260F" w:rsidRDefault="0064260F">
      <w:pPr>
        <w:pStyle w:val="BodyText"/>
        <w:kinsoku w:val="0"/>
        <w:overflowPunct w:val="0"/>
        <w:spacing w:before="7"/>
        <w:rPr>
          <w:sz w:val="20"/>
          <w:szCs w:val="20"/>
        </w:rPr>
      </w:pPr>
    </w:p>
    <w:p w14:paraId="694579BB" w14:textId="77777777" w:rsidR="0064260F" w:rsidRPr="00241EAE" w:rsidRDefault="004F1DA3">
      <w:pPr>
        <w:pStyle w:val="BodyText"/>
        <w:kinsoku w:val="0"/>
        <w:overflowPunct w:val="0"/>
        <w:spacing w:before="1"/>
        <w:ind w:left="130"/>
        <w:rPr>
          <w:b/>
          <w:bCs/>
          <w:color w:val="2E74B5"/>
          <w:sz w:val="18"/>
          <w:szCs w:val="18"/>
        </w:rPr>
      </w:pPr>
      <w:r w:rsidRPr="00241EAE">
        <w:rPr>
          <w:b/>
          <w:bCs/>
          <w:color w:val="2E74B5"/>
        </w:rPr>
        <w:t>P</w:t>
      </w:r>
      <w:r w:rsidRPr="00241EAE">
        <w:rPr>
          <w:b/>
          <w:bCs/>
          <w:color w:val="2E74B5"/>
          <w:sz w:val="18"/>
          <w:szCs w:val="18"/>
        </w:rPr>
        <w:t>ERSONAL VOLUNTARY</w:t>
      </w:r>
    </w:p>
    <w:p w14:paraId="71D72D3C" w14:textId="48DE0E72" w:rsidR="0064260F" w:rsidRDefault="004F1DA3">
      <w:pPr>
        <w:pStyle w:val="BodyText"/>
        <w:kinsoku w:val="0"/>
        <w:overflowPunct w:val="0"/>
        <w:spacing w:before="121"/>
        <w:ind w:left="130" w:right="142" w:firstLine="441"/>
        <w:jc w:val="both"/>
      </w:pPr>
      <w:r>
        <w:t>Individuals are able to make personal non-concessional (post-tax) voluntary contributions to their superannuation accounts</w:t>
      </w:r>
      <w:r w:rsidR="00103723">
        <w:t>, up to the annual non-concessional contributions cap</w:t>
      </w:r>
      <w:r>
        <w:t xml:space="preserve">. </w:t>
      </w:r>
      <w:r w:rsidR="007F1333">
        <w:t>T</w:t>
      </w:r>
      <w:r>
        <w:t>hose with a balance of AUS</w:t>
      </w:r>
      <w:r w:rsidR="00B91D13">
        <w:t xml:space="preserve"> </w:t>
      </w:r>
      <w:r>
        <w:t>$1.</w:t>
      </w:r>
      <w:r w:rsidR="00306AA6">
        <w:t>9</w:t>
      </w:r>
      <w:r>
        <w:t xml:space="preserve"> million or more will no longer be able to make non-concessional contributions.</w:t>
      </w:r>
    </w:p>
    <w:p w14:paraId="2946DB82" w14:textId="77777777" w:rsidR="0064260F" w:rsidRDefault="0064260F">
      <w:pPr>
        <w:pStyle w:val="BodyText"/>
        <w:kinsoku w:val="0"/>
        <w:overflowPunct w:val="0"/>
        <w:rPr>
          <w:sz w:val="21"/>
          <w:szCs w:val="21"/>
        </w:rPr>
      </w:pPr>
    </w:p>
    <w:p w14:paraId="6F2735D0" w14:textId="4B0FB810" w:rsidR="0064260F" w:rsidRDefault="004F1DA3" w:rsidP="00F75C52">
      <w:pPr>
        <w:pStyle w:val="BodyText"/>
        <w:kinsoku w:val="0"/>
        <w:overflowPunct w:val="0"/>
        <w:ind w:left="130" w:right="140"/>
        <w:jc w:val="both"/>
      </w:pPr>
      <w:r>
        <w:t xml:space="preserve">Individuals under the age of 75 </w:t>
      </w:r>
      <w:r w:rsidR="005F3942">
        <w:t>are</w:t>
      </w:r>
      <w:r>
        <w:t xml:space="preserve"> also able to claim an income tax deduction for any personal superannuation contribution into an eligible superannuation fund. These contributions will count towards the </w:t>
      </w:r>
      <w:r w:rsidR="00726B81">
        <w:t>individual’s</w:t>
      </w:r>
      <w:r>
        <w:t xml:space="preserve"> concessional contributions cap</w:t>
      </w:r>
      <w:r w:rsidR="00726B81">
        <w:t xml:space="preserve"> </w:t>
      </w:r>
      <w:r>
        <w:t xml:space="preserve">and be subject to 15 per cent contributions tax. Individuals can make contributions to their superannuation fund or to </w:t>
      </w:r>
      <w:r w:rsidRPr="00BC2899">
        <w:t>a Retirement Savings Account (RSA). RSAs receive the same tax treatment as other superannuation accounts. They are a contractual form of low-cost saving similar</w:t>
      </w:r>
      <w:r>
        <w:t xml:space="preserve"> to term deposits. They are capital-guaranteed products offered by deposit-taking institutions or life insurance companies.</w:t>
      </w:r>
    </w:p>
    <w:p w14:paraId="5997CC1D" w14:textId="77777777" w:rsidR="0064260F" w:rsidRDefault="0064260F">
      <w:pPr>
        <w:pStyle w:val="BodyText"/>
        <w:kinsoku w:val="0"/>
        <w:overflowPunct w:val="0"/>
        <w:spacing w:before="7"/>
        <w:rPr>
          <w:sz w:val="20"/>
          <w:szCs w:val="20"/>
        </w:rPr>
      </w:pPr>
    </w:p>
    <w:p w14:paraId="50BFE91F" w14:textId="77777777" w:rsidR="0064260F" w:rsidRPr="00241EAE" w:rsidRDefault="004F1DA3">
      <w:pPr>
        <w:pStyle w:val="BodyText"/>
        <w:kinsoku w:val="0"/>
        <w:overflowPunct w:val="0"/>
        <w:ind w:left="130"/>
        <w:rPr>
          <w:b/>
          <w:bCs/>
          <w:color w:val="2E74B5"/>
          <w:sz w:val="18"/>
          <w:szCs w:val="18"/>
        </w:rPr>
      </w:pPr>
      <w:r w:rsidRPr="00241EAE">
        <w:rPr>
          <w:b/>
          <w:bCs/>
          <w:color w:val="2E74B5"/>
        </w:rPr>
        <w:t>M</w:t>
      </w:r>
      <w:r w:rsidRPr="00241EAE">
        <w:rPr>
          <w:b/>
          <w:bCs/>
          <w:color w:val="2E74B5"/>
          <w:sz w:val="18"/>
          <w:szCs w:val="18"/>
        </w:rPr>
        <w:t>ARKET INFORMATION</w:t>
      </w:r>
    </w:p>
    <w:p w14:paraId="110FFD37" w14:textId="77777777" w:rsidR="0064260F" w:rsidRPr="00241EAE" w:rsidRDefault="0064260F">
      <w:pPr>
        <w:pStyle w:val="BodyText"/>
        <w:kinsoku w:val="0"/>
        <w:overflowPunct w:val="0"/>
        <w:spacing w:before="2"/>
        <w:rPr>
          <w:b/>
          <w:bCs/>
          <w:color w:val="2E74B5"/>
          <w:sz w:val="21"/>
          <w:szCs w:val="21"/>
        </w:rPr>
      </w:pPr>
    </w:p>
    <w:p w14:paraId="15E5E738" w14:textId="77777777" w:rsidR="0064260F" w:rsidRPr="00241EAE" w:rsidRDefault="004F1DA3">
      <w:pPr>
        <w:pStyle w:val="BodyText"/>
        <w:kinsoku w:val="0"/>
        <w:overflowPunct w:val="0"/>
        <w:ind w:left="130"/>
        <w:rPr>
          <w:i/>
          <w:iCs/>
          <w:color w:val="2E74B5"/>
        </w:rPr>
      </w:pPr>
      <w:r w:rsidRPr="00241EAE">
        <w:rPr>
          <w:i/>
          <w:iCs/>
          <w:color w:val="2E74B5"/>
        </w:rPr>
        <w:t>Occupational/personal mandatory</w:t>
      </w:r>
    </w:p>
    <w:p w14:paraId="6B699379" w14:textId="77777777" w:rsidR="0064260F" w:rsidRDefault="0064260F">
      <w:pPr>
        <w:pStyle w:val="BodyText"/>
        <w:kinsoku w:val="0"/>
        <w:overflowPunct w:val="0"/>
        <w:spacing w:before="10"/>
        <w:rPr>
          <w:i/>
          <w:iCs/>
          <w:sz w:val="20"/>
          <w:szCs w:val="20"/>
        </w:rPr>
      </w:pPr>
    </w:p>
    <w:p w14:paraId="784D0A26" w14:textId="567BA633" w:rsidR="0064260F" w:rsidRDefault="004F1DA3" w:rsidP="00F75C52">
      <w:pPr>
        <w:pStyle w:val="BodyText"/>
        <w:kinsoku w:val="0"/>
        <w:overflowPunct w:val="0"/>
        <w:ind w:left="130" w:right="141"/>
        <w:jc w:val="both"/>
      </w:pPr>
      <w:r>
        <w:t xml:space="preserve">As at </w:t>
      </w:r>
      <w:r w:rsidR="00486F9D">
        <w:t xml:space="preserve">June </w:t>
      </w:r>
      <w:r w:rsidR="00431D2F">
        <w:t>202</w:t>
      </w:r>
      <w:r w:rsidR="00963EDA">
        <w:t>3</w:t>
      </w:r>
      <w:r>
        <w:t>, the total number of member accounts wa</w:t>
      </w:r>
      <w:r w:rsidRPr="009F2556">
        <w:t xml:space="preserve">s </w:t>
      </w:r>
      <w:r w:rsidR="00C251D4" w:rsidRPr="009F2556">
        <w:t>2</w:t>
      </w:r>
      <w:r w:rsidR="00963EDA">
        <w:t>4.</w:t>
      </w:r>
      <w:r w:rsidR="00580F81">
        <w:t>2</w:t>
      </w:r>
      <w:r w:rsidR="00C251D4" w:rsidRPr="00A864BA">
        <w:t xml:space="preserve"> </w:t>
      </w:r>
      <w:r w:rsidRPr="009F2556">
        <w:t>million,</w:t>
      </w:r>
      <w:r>
        <w:t xml:space="preserve"> and total assets within the superannuation fund system were AU</w:t>
      </w:r>
      <w:r w:rsidR="00B64600">
        <w:t>S</w:t>
      </w:r>
      <w:r w:rsidR="00A214A1">
        <w:t xml:space="preserve"> </w:t>
      </w:r>
      <w:r w:rsidR="00B64600">
        <w:t>$</w:t>
      </w:r>
      <w:r w:rsidR="009B0CE6">
        <w:t>3.</w:t>
      </w:r>
      <w:r w:rsidR="00A214A1">
        <w:t>6</w:t>
      </w:r>
      <w:r>
        <w:t xml:space="preserve"> trillion. Among the different types of schemes</w:t>
      </w:r>
      <w:r w:rsidR="0073314D">
        <w:t>,</w:t>
      </w:r>
      <w:r>
        <w:t xml:space="preserve"> </w:t>
      </w:r>
      <w:r w:rsidR="005854D2">
        <w:t xml:space="preserve">industry </w:t>
      </w:r>
      <w:r>
        <w:t>funds had the largest share at 3</w:t>
      </w:r>
      <w:r w:rsidR="00473FB2">
        <w:t>3.</w:t>
      </w:r>
      <w:r w:rsidR="001A2DBF">
        <w:t>6</w:t>
      </w:r>
      <w:r>
        <w:t xml:space="preserve"> per cent of assets, while the </w:t>
      </w:r>
      <w:r w:rsidR="002261E0">
        <w:t xml:space="preserve">self-managed superannuation </w:t>
      </w:r>
      <w:r>
        <w:t>funds</w:t>
      </w:r>
      <w:r w:rsidR="009432CC">
        <w:t xml:space="preserve"> (SMSFs)</w:t>
      </w:r>
      <w:r w:rsidR="00591D88">
        <w:t>, being</w:t>
      </w:r>
      <w:r>
        <w:t xml:space="preserve"> the second largest market player</w:t>
      </w:r>
      <w:r w:rsidR="00591D88">
        <w:t>,</w:t>
      </w:r>
      <w:r>
        <w:t xml:space="preserve"> represented </w:t>
      </w:r>
      <w:r w:rsidR="00B500D2">
        <w:t>24.</w:t>
      </w:r>
      <w:r w:rsidR="001A2DBF">
        <w:t>7</w:t>
      </w:r>
      <w:r>
        <w:t xml:space="preserve"> per cent. </w:t>
      </w:r>
      <w:r w:rsidR="00E9771D">
        <w:t>Further, there were</w:t>
      </w:r>
      <w:r>
        <w:t xml:space="preserve">  </w:t>
      </w:r>
      <w:r w:rsidR="001A2DBF">
        <w:t>599,861</w:t>
      </w:r>
      <w:r w:rsidR="00817F58">
        <w:t xml:space="preserve"> self-managed superannuation</w:t>
      </w:r>
      <w:r>
        <w:t xml:space="preserve"> funds, </w:t>
      </w:r>
      <w:r w:rsidR="00BA7C27">
        <w:t>8</w:t>
      </w:r>
      <w:r>
        <w:t xml:space="preserve"> corporate funds, </w:t>
      </w:r>
      <w:r w:rsidR="00BA7C27">
        <w:t>29</w:t>
      </w:r>
      <w:r>
        <w:t xml:space="preserve"> public sector funds, </w:t>
      </w:r>
      <w:r w:rsidR="00CC59AD">
        <w:t>2</w:t>
      </w:r>
      <w:r w:rsidR="00BA7C27">
        <w:t xml:space="preserve">2 </w:t>
      </w:r>
      <w:r>
        <w:t xml:space="preserve">industry funds and </w:t>
      </w:r>
      <w:r w:rsidR="00BA7C27">
        <w:t>6</w:t>
      </w:r>
      <w:r w:rsidR="00621529">
        <w:t>8</w:t>
      </w:r>
      <w:r>
        <w:t xml:space="preserve"> retail</w:t>
      </w:r>
      <w:r>
        <w:rPr>
          <w:spacing w:val="-15"/>
        </w:rPr>
        <w:t xml:space="preserve"> </w:t>
      </w:r>
      <w:r>
        <w:t>funds.</w:t>
      </w:r>
    </w:p>
    <w:p w14:paraId="3FE9F23F" w14:textId="77777777" w:rsidR="00736340" w:rsidRDefault="00736340">
      <w:pPr>
        <w:pStyle w:val="BodyText"/>
        <w:kinsoku w:val="0"/>
        <w:overflowPunct w:val="0"/>
        <w:ind w:left="130" w:right="141" w:firstLine="441"/>
        <w:jc w:val="both"/>
      </w:pPr>
    </w:p>
    <w:p w14:paraId="2C718EEC" w14:textId="6F1BE5E2" w:rsidR="00F75C52" w:rsidRDefault="00F75C52">
      <w:pPr>
        <w:widowControl/>
        <w:autoSpaceDE/>
        <w:autoSpaceDN/>
        <w:adjustRightInd/>
      </w:pPr>
      <w:r>
        <w:br w:type="page"/>
      </w:r>
    </w:p>
    <w:p w14:paraId="0D308B66" w14:textId="6675C892" w:rsidR="0064260F" w:rsidRDefault="0064260F">
      <w:pPr>
        <w:pStyle w:val="BodyText"/>
        <w:kinsoku w:val="0"/>
        <w:overflowPunct w:val="0"/>
        <w:spacing w:before="7"/>
        <w:rPr>
          <w:sz w:val="19"/>
          <w:szCs w:val="19"/>
        </w:rPr>
      </w:pPr>
    </w:p>
    <w:p w14:paraId="06BD4557" w14:textId="77777777" w:rsidR="0064260F" w:rsidRPr="00241EAE" w:rsidRDefault="004F1DA3">
      <w:pPr>
        <w:pStyle w:val="Heading1"/>
        <w:kinsoku w:val="0"/>
        <w:overflowPunct w:val="0"/>
        <w:rPr>
          <w:color w:val="2E74B5"/>
        </w:rPr>
      </w:pPr>
      <w:r w:rsidRPr="00241EAE">
        <w:rPr>
          <w:color w:val="2E74B5"/>
        </w:rPr>
        <w:t>REFERENCE INFORMATION</w:t>
      </w:r>
    </w:p>
    <w:p w14:paraId="61CDCEAD" w14:textId="77777777" w:rsidR="0064260F" w:rsidRPr="00241EAE" w:rsidRDefault="0064260F">
      <w:pPr>
        <w:pStyle w:val="BodyText"/>
        <w:kinsoku w:val="0"/>
        <w:overflowPunct w:val="0"/>
        <w:spacing w:before="9"/>
        <w:rPr>
          <w:b/>
          <w:bCs/>
          <w:color w:val="2E74B5"/>
          <w:sz w:val="20"/>
          <w:szCs w:val="20"/>
        </w:rPr>
      </w:pPr>
    </w:p>
    <w:p w14:paraId="7BC9AF6E" w14:textId="77777777" w:rsidR="0064260F" w:rsidRPr="00241EAE" w:rsidRDefault="004F1DA3">
      <w:pPr>
        <w:pStyle w:val="BodyText"/>
        <w:kinsoku w:val="0"/>
        <w:overflowPunct w:val="0"/>
        <w:ind w:left="130"/>
        <w:rPr>
          <w:b/>
          <w:bCs/>
          <w:color w:val="2E74B5"/>
          <w:sz w:val="18"/>
          <w:szCs w:val="18"/>
        </w:rPr>
      </w:pPr>
      <w:r w:rsidRPr="00241EAE">
        <w:rPr>
          <w:b/>
          <w:bCs/>
          <w:color w:val="2E74B5"/>
        </w:rPr>
        <w:t>K</w:t>
      </w:r>
      <w:r w:rsidRPr="00241EAE">
        <w:rPr>
          <w:b/>
          <w:bCs/>
          <w:color w:val="2E74B5"/>
          <w:sz w:val="18"/>
          <w:szCs w:val="18"/>
        </w:rPr>
        <w:t xml:space="preserve">EY </w:t>
      </w:r>
      <w:r w:rsidRPr="00241EAE">
        <w:rPr>
          <w:b/>
          <w:bCs/>
          <w:color w:val="2E74B5"/>
        </w:rPr>
        <w:t>L</w:t>
      </w:r>
      <w:r w:rsidRPr="00241EAE">
        <w:rPr>
          <w:b/>
          <w:bCs/>
          <w:color w:val="2E74B5"/>
          <w:sz w:val="18"/>
          <w:szCs w:val="18"/>
        </w:rPr>
        <w:t>EGISLATION</w:t>
      </w:r>
    </w:p>
    <w:p w14:paraId="30EB1AF7" w14:textId="7B940C6A" w:rsidR="00A15F67" w:rsidRDefault="00AC4383">
      <w:pPr>
        <w:pStyle w:val="ListParagraph"/>
        <w:numPr>
          <w:ilvl w:val="1"/>
          <w:numId w:val="1"/>
        </w:numPr>
        <w:tabs>
          <w:tab w:val="left" w:pos="1322"/>
        </w:tabs>
        <w:kinsoku w:val="0"/>
        <w:overflowPunct w:val="0"/>
        <w:spacing w:before="123"/>
        <w:ind w:right="148" w:hanging="360"/>
        <w:jc w:val="both"/>
        <w:rPr>
          <w:color w:val="000000"/>
          <w:sz w:val="22"/>
          <w:szCs w:val="22"/>
        </w:rPr>
      </w:pPr>
      <w:r>
        <w:t xml:space="preserve">The main pieces of legislation can be found here: </w:t>
      </w:r>
      <w:hyperlink r:id="rId16" w:history="1">
        <w:r w:rsidR="00A15F67">
          <w:rPr>
            <w:rStyle w:val="Hyperlink"/>
          </w:rPr>
          <w:t>Enabling legislation | APRA</w:t>
        </w:r>
      </w:hyperlink>
    </w:p>
    <w:p w14:paraId="4334CEC6" w14:textId="14EA89E4" w:rsidR="008E11B3" w:rsidRPr="00F75C52" w:rsidRDefault="008E11B3">
      <w:pPr>
        <w:pStyle w:val="BodyText"/>
        <w:kinsoku w:val="0"/>
        <w:overflowPunct w:val="0"/>
        <w:spacing w:before="1"/>
      </w:pPr>
    </w:p>
    <w:p w14:paraId="3C1A7B55" w14:textId="04B8B391" w:rsidR="0064260F" w:rsidRDefault="004F1DA3">
      <w:pPr>
        <w:pStyle w:val="ListParagraph"/>
        <w:numPr>
          <w:ilvl w:val="1"/>
          <w:numId w:val="1"/>
        </w:numPr>
        <w:tabs>
          <w:tab w:val="left" w:pos="1322"/>
        </w:tabs>
        <w:kinsoku w:val="0"/>
        <w:overflowPunct w:val="0"/>
        <w:spacing w:line="237" w:lineRule="auto"/>
        <w:ind w:right="146" w:hanging="360"/>
        <w:jc w:val="both"/>
        <w:rPr>
          <w:color w:val="000000"/>
          <w:sz w:val="22"/>
          <w:szCs w:val="22"/>
        </w:rPr>
      </w:pPr>
      <w:r>
        <w:rPr>
          <w:color w:val="000000"/>
          <w:sz w:val="22"/>
          <w:szCs w:val="22"/>
        </w:rPr>
        <w:t xml:space="preserve">1998: </w:t>
      </w:r>
      <w:r w:rsidRPr="00F75C52">
        <w:rPr>
          <w:i/>
          <w:color w:val="000000"/>
          <w:sz w:val="22"/>
        </w:rPr>
        <w:t>Australian Prudential Regulation Authority Act</w:t>
      </w:r>
      <w:r w:rsidR="00F62098">
        <w:rPr>
          <w:i/>
          <w:color w:val="000000"/>
          <w:sz w:val="22"/>
          <w:szCs w:val="22"/>
        </w:rPr>
        <w:t xml:space="preserve"> 1998</w:t>
      </w:r>
      <w:r w:rsidRPr="001A4FEE">
        <w:rPr>
          <w:i/>
          <w:color w:val="000000"/>
          <w:sz w:val="22"/>
          <w:szCs w:val="22"/>
        </w:rPr>
        <w:t>.</w:t>
      </w:r>
      <w:r>
        <w:rPr>
          <w:color w:val="000000"/>
          <w:sz w:val="22"/>
          <w:szCs w:val="22"/>
        </w:rPr>
        <w:t xml:space="preserve"> Establishe</w:t>
      </w:r>
      <w:r w:rsidR="000B07B0">
        <w:rPr>
          <w:color w:val="000000"/>
          <w:sz w:val="22"/>
          <w:szCs w:val="22"/>
        </w:rPr>
        <w:t>s</w:t>
      </w:r>
      <w:r>
        <w:rPr>
          <w:color w:val="000000"/>
          <w:sz w:val="22"/>
          <w:szCs w:val="22"/>
        </w:rPr>
        <w:t xml:space="preserve"> the functions and powers of the Australian Prudential Regulation</w:t>
      </w:r>
      <w:r>
        <w:rPr>
          <w:color w:val="000000"/>
          <w:spacing w:val="-3"/>
          <w:sz w:val="22"/>
          <w:szCs w:val="22"/>
        </w:rPr>
        <w:t xml:space="preserve"> </w:t>
      </w:r>
      <w:r>
        <w:rPr>
          <w:color w:val="000000"/>
          <w:sz w:val="22"/>
          <w:szCs w:val="22"/>
        </w:rPr>
        <w:t>Authority</w:t>
      </w:r>
      <w:r w:rsidR="00F62098">
        <w:rPr>
          <w:color w:val="000000"/>
          <w:sz w:val="22"/>
          <w:szCs w:val="22"/>
        </w:rPr>
        <w:t>.</w:t>
      </w:r>
    </w:p>
    <w:p w14:paraId="114AF222" w14:textId="77777777" w:rsidR="00F62098" w:rsidRPr="00F75C52" w:rsidRDefault="00F62098" w:rsidP="00F75C52">
      <w:pPr>
        <w:pStyle w:val="ListParagraph"/>
        <w:tabs>
          <w:tab w:val="left" w:pos="1322"/>
        </w:tabs>
        <w:kinsoku w:val="0"/>
        <w:overflowPunct w:val="0"/>
        <w:spacing w:line="237" w:lineRule="auto"/>
        <w:ind w:right="146" w:firstLine="0"/>
        <w:jc w:val="both"/>
        <w:rPr>
          <w:color w:val="000000"/>
          <w:sz w:val="22"/>
        </w:rPr>
      </w:pPr>
    </w:p>
    <w:p w14:paraId="71BFC805" w14:textId="7CC43944" w:rsidR="00F62098" w:rsidRPr="001A4FEE" w:rsidRDefault="00F62098" w:rsidP="001A4FEE">
      <w:pPr>
        <w:pStyle w:val="ListParagraph"/>
        <w:tabs>
          <w:tab w:val="left" w:pos="1322"/>
        </w:tabs>
        <w:kinsoku w:val="0"/>
        <w:overflowPunct w:val="0"/>
        <w:spacing w:line="237" w:lineRule="auto"/>
        <w:ind w:right="146" w:firstLine="0"/>
        <w:jc w:val="both"/>
        <w:rPr>
          <w:color w:val="000000"/>
          <w:sz w:val="20"/>
          <w:szCs w:val="20"/>
        </w:rPr>
      </w:pPr>
      <w:hyperlink r:id="rId17" w:history="1">
        <w:r w:rsidRPr="001A4FEE">
          <w:rPr>
            <w:rStyle w:val="Hyperlink"/>
            <w:sz w:val="22"/>
            <w:szCs w:val="22"/>
          </w:rPr>
          <w:t>Federal Register of Legislation - Australian Prudential Regulation Authority Act 1998</w:t>
        </w:r>
      </w:hyperlink>
      <w:r w:rsidRPr="001A4FEE">
        <w:rPr>
          <w:sz w:val="22"/>
          <w:szCs w:val="22"/>
        </w:rPr>
        <w:t xml:space="preserve"> </w:t>
      </w:r>
    </w:p>
    <w:p w14:paraId="52E56223" w14:textId="77777777" w:rsidR="0064260F" w:rsidRDefault="0064260F">
      <w:pPr>
        <w:pStyle w:val="BodyText"/>
        <w:kinsoku w:val="0"/>
        <w:overflowPunct w:val="0"/>
        <w:rPr>
          <w:sz w:val="21"/>
          <w:szCs w:val="21"/>
        </w:rPr>
      </w:pPr>
    </w:p>
    <w:p w14:paraId="07547A01" w14:textId="77777777" w:rsidR="0064260F" w:rsidRDefault="0064260F">
      <w:pPr>
        <w:pStyle w:val="BodyText"/>
        <w:kinsoku w:val="0"/>
        <w:overflowPunct w:val="0"/>
        <w:spacing w:before="9"/>
        <w:rPr>
          <w:sz w:val="20"/>
          <w:szCs w:val="20"/>
        </w:rPr>
      </w:pPr>
    </w:p>
    <w:p w14:paraId="4BCB1488" w14:textId="58AFF05A" w:rsidR="004E6851" w:rsidRDefault="004F1DA3" w:rsidP="00274193">
      <w:pPr>
        <w:pStyle w:val="ListParagraph"/>
        <w:numPr>
          <w:ilvl w:val="1"/>
          <w:numId w:val="1"/>
        </w:numPr>
        <w:tabs>
          <w:tab w:val="left" w:pos="1322"/>
        </w:tabs>
        <w:kinsoku w:val="0"/>
        <w:overflowPunct w:val="0"/>
        <w:ind w:right="145" w:hanging="360"/>
        <w:jc w:val="both"/>
        <w:rPr>
          <w:color w:val="000000"/>
          <w:sz w:val="22"/>
          <w:szCs w:val="22"/>
        </w:rPr>
      </w:pPr>
      <w:r>
        <w:rPr>
          <w:color w:val="000000"/>
          <w:sz w:val="22"/>
          <w:szCs w:val="22"/>
        </w:rPr>
        <w:t xml:space="preserve">1993: </w:t>
      </w:r>
      <w:r w:rsidRPr="00F75C52">
        <w:rPr>
          <w:i/>
          <w:color w:val="000000"/>
          <w:sz w:val="22"/>
        </w:rPr>
        <w:t xml:space="preserve">Superannuation </w:t>
      </w:r>
      <w:r w:rsidRPr="001A4FEE">
        <w:rPr>
          <w:i/>
          <w:color w:val="000000"/>
          <w:sz w:val="22"/>
          <w:szCs w:val="22"/>
        </w:rPr>
        <w:t>Industry (Supervision</w:t>
      </w:r>
      <w:r w:rsidRPr="00F75C52">
        <w:rPr>
          <w:i/>
          <w:color w:val="000000"/>
          <w:sz w:val="22"/>
        </w:rPr>
        <w:t>) Act</w:t>
      </w:r>
      <w:r w:rsidRPr="001A4FEE">
        <w:rPr>
          <w:i/>
          <w:color w:val="000000"/>
          <w:sz w:val="22"/>
          <w:szCs w:val="22"/>
        </w:rPr>
        <w:t xml:space="preserve"> 1993</w:t>
      </w:r>
      <w:r w:rsidR="00274193" w:rsidRPr="001A4FEE">
        <w:rPr>
          <w:i/>
          <w:color w:val="000000"/>
          <w:sz w:val="22"/>
          <w:szCs w:val="22"/>
        </w:rPr>
        <w:t>.</w:t>
      </w:r>
      <w:r w:rsidR="00274193">
        <w:rPr>
          <w:color w:val="000000"/>
          <w:sz w:val="22"/>
          <w:szCs w:val="22"/>
        </w:rPr>
        <w:t xml:space="preserve"> Establishes the </w:t>
      </w:r>
      <w:r w:rsidR="00A67D47">
        <w:rPr>
          <w:color w:val="000000"/>
          <w:sz w:val="22"/>
          <w:szCs w:val="22"/>
        </w:rPr>
        <w:t>prudential management of certain superannuation funds, approved deposit funds and pooled superannuation trusts and for their supervision by APRA, ASIC and the Commissioner of Taxation.</w:t>
      </w:r>
    </w:p>
    <w:p w14:paraId="0E935B65" w14:textId="77777777" w:rsidR="000B07B0" w:rsidRPr="00F75C52" w:rsidRDefault="000B07B0" w:rsidP="00F75C52">
      <w:pPr>
        <w:pStyle w:val="ListParagraph"/>
        <w:tabs>
          <w:tab w:val="left" w:pos="1322"/>
        </w:tabs>
        <w:kinsoku w:val="0"/>
        <w:overflowPunct w:val="0"/>
        <w:ind w:right="145" w:firstLine="0"/>
        <w:jc w:val="both"/>
        <w:rPr>
          <w:color w:val="000000"/>
          <w:sz w:val="22"/>
        </w:rPr>
      </w:pPr>
    </w:p>
    <w:p w14:paraId="46718EB5" w14:textId="17B574D8" w:rsidR="000B07B0" w:rsidRPr="001A4FEE" w:rsidRDefault="00990398" w:rsidP="001A4FEE">
      <w:pPr>
        <w:pStyle w:val="ListParagraph"/>
        <w:tabs>
          <w:tab w:val="left" w:pos="1322"/>
        </w:tabs>
        <w:kinsoku w:val="0"/>
        <w:overflowPunct w:val="0"/>
        <w:ind w:right="145" w:firstLine="0"/>
        <w:jc w:val="both"/>
        <w:rPr>
          <w:color w:val="000000"/>
          <w:sz w:val="20"/>
          <w:szCs w:val="20"/>
        </w:rPr>
      </w:pPr>
      <w:hyperlink r:id="rId18" w:history="1">
        <w:r w:rsidRPr="001A4FEE">
          <w:rPr>
            <w:rStyle w:val="Hyperlink"/>
            <w:sz w:val="22"/>
            <w:szCs w:val="22"/>
          </w:rPr>
          <w:t>Federal Register of Legislation - Superannuation Industry (Supervision) Act 1993</w:t>
        </w:r>
      </w:hyperlink>
      <w:r w:rsidRPr="001A4FEE">
        <w:rPr>
          <w:sz w:val="22"/>
          <w:szCs w:val="22"/>
        </w:rPr>
        <w:t xml:space="preserve"> </w:t>
      </w:r>
    </w:p>
    <w:p w14:paraId="5043CB0F" w14:textId="27F69FA2" w:rsidR="0064260F" w:rsidRPr="00F75C52" w:rsidRDefault="0064260F" w:rsidP="00F75C52">
      <w:pPr>
        <w:rPr>
          <w:sz w:val="20"/>
        </w:rPr>
      </w:pPr>
    </w:p>
    <w:p w14:paraId="6537F28F" w14:textId="77777777" w:rsidR="00E43F0C" w:rsidRPr="00241EAE" w:rsidRDefault="00E43F0C">
      <w:pPr>
        <w:pStyle w:val="BodyText"/>
        <w:kinsoku w:val="0"/>
        <w:overflowPunct w:val="0"/>
        <w:spacing w:before="9"/>
        <w:rPr>
          <w:color w:val="2E74B5"/>
          <w:sz w:val="20"/>
          <w:szCs w:val="20"/>
        </w:rPr>
      </w:pPr>
    </w:p>
    <w:p w14:paraId="5951A3B7" w14:textId="77777777" w:rsidR="0064260F" w:rsidRPr="00241EAE" w:rsidRDefault="004F1DA3">
      <w:pPr>
        <w:pStyle w:val="BodyText"/>
        <w:kinsoku w:val="0"/>
        <w:overflowPunct w:val="0"/>
        <w:ind w:left="130"/>
        <w:rPr>
          <w:b/>
          <w:bCs/>
          <w:color w:val="2E74B5"/>
          <w:sz w:val="18"/>
          <w:szCs w:val="18"/>
        </w:rPr>
      </w:pPr>
      <w:r w:rsidRPr="00241EAE">
        <w:rPr>
          <w:b/>
          <w:bCs/>
          <w:color w:val="2E74B5"/>
        </w:rPr>
        <w:t>K</w:t>
      </w:r>
      <w:r w:rsidRPr="00241EAE">
        <w:rPr>
          <w:b/>
          <w:bCs/>
          <w:color w:val="2E74B5"/>
          <w:sz w:val="18"/>
          <w:szCs w:val="18"/>
        </w:rPr>
        <w:t xml:space="preserve">EY </w:t>
      </w:r>
      <w:r w:rsidRPr="00241EAE">
        <w:rPr>
          <w:b/>
          <w:bCs/>
          <w:color w:val="2E74B5"/>
        </w:rPr>
        <w:t>R</w:t>
      </w:r>
      <w:r w:rsidRPr="00241EAE">
        <w:rPr>
          <w:b/>
          <w:bCs/>
          <w:color w:val="2E74B5"/>
          <w:sz w:val="18"/>
          <w:szCs w:val="18"/>
        </w:rPr>
        <w:t xml:space="preserve">EGULATORY AND </w:t>
      </w:r>
      <w:r w:rsidRPr="00241EAE">
        <w:rPr>
          <w:b/>
          <w:bCs/>
          <w:color w:val="2E74B5"/>
        </w:rPr>
        <w:t>S</w:t>
      </w:r>
      <w:r w:rsidRPr="00241EAE">
        <w:rPr>
          <w:b/>
          <w:bCs/>
          <w:color w:val="2E74B5"/>
          <w:sz w:val="18"/>
          <w:szCs w:val="18"/>
        </w:rPr>
        <w:t xml:space="preserve">UPERVISORY </w:t>
      </w:r>
      <w:r w:rsidRPr="00241EAE">
        <w:rPr>
          <w:b/>
          <w:bCs/>
          <w:color w:val="2E74B5"/>
        </w:rPr>
        <w:t>A</w:t>
      </w:r>
      <w:r w:rsidRPr="00241EAE">
        <w:rPr>
          <w:b/>
          <w:bCs/>
          <w:color w:val="2E74B5"/>
          <w:sz w:val="18"/>
          <w:szCs w:val="18"/>
        </w:rPr>
        <w:t>UTHORITIES</w:t>
      </w:r>
    </w:p>
    <w:p w14:paraId="49FA0957" w14:textId="670931C6" w:rsidR="0064260F" w:rsidRPr="00F75C52" w:rsidRDefault="004F1DA3" w:rsidP="00F75C52">
      <w:pPr>
        <w:pStyle w:val="ListParagraph"/>
        <w:tabs>
          <w:tab w:val="left" w:pos="1322"/>
        </w:tabs>
        <w:kinsoku w:val="0"/>
        <w:overflowPunct w:val="0"/>
        <w:ind w:right="145" w:firstLine="0"/>
        <w:jc w:val="both"/>
        <w:rPr>
          <w:rStyle w:val="Hyperlink"/>
          <w:sz w:val="22"/>
          <w:szCs w:val="22"/>
        </w:rPr>
      </w:pPr>
      <w:r>
        <w:t xml:space="preserve">Australian Prudential Regulation Authority: </w:t>
      </w:r>
      <w:hyperlink r:id="rId19" w:history="1">
        <w:r w:rsidR="000D6B50" w:rsidRPr="000D6B50">
          <w:rPr>
            <w:rStyle w:val="Hyperlink"/>
            <w:rFonts w:cs="Arial"/>
          </w:rPr>
          <w:t>www.apra.gov.au</w:t>
        </w:r>
      </w:hyperlink>
    </w:p>
    <w:p w14:paraId="6DFB9E20" w14:textId="77777777" w:rsidR="0064260F" w:rsidRDefault="0064260F">
      <w:pPr>
        <w:pStyle w:val="BodyText"/>
        <w:kinsoku w:val="0"/>
        <w:overflowPunct w:val="0"/>
        <w:spacing w:before="9"/>
        <w:rPr>
          <w:sz w:val="12"/>
          <w:szCs w:val="12"/>
        </w:rPr>
      </w:pPr>
    </w:p>
    <w:p w14:paraId="6C388642" w14:textId="66C76054" w:rsidR="0064260F" w:rsidRPr="00F75C52" w:rsidRDefault="004F1DA3" w:rsidP="00F75C52">
      <w:pPr>
        <w:pStyle w:val="ListParagraph"/>
        <w:tabs>
          <w:tab w:val="left" w:pos="1322"/>
        </w:tabs>
        <w:kinsoku w:val="0"/>
        <w:overflowPunct w:val="0"/>
        <w:ind w:right="145" w:firstLine="0"/>
        <w:jc w:val="both"/>
        <w:rPr>
          <w:rStyle w:val="Hyperlink"/>
          <w:sz w:val="22"/>
          <w:szCs w:val="22"/>
        </w:rPr>
      </w:pPr>
      <w:r>
        <w:t xml:space="preserve">Australian Taxation Office: </w:t>
      </w:r>
      <w:hyperlink r:id="rId20" w:history="1">
        <w:r w:rsidR="00B179B5" w:rsidRPr="00F274AA">
          <w:rPr>
            <w:rStyle w:val="Hyperlink"/>
            <w:rFonts w:cs="Arial"/>
          </w:rPr>
          <w:t>www.ato.gov.au</w:t>
        </w:r>
      </w:hyperlink>
    </w:p>
    <w:p w14:paraId="70DF9E56" w14:textId="77777777" w:rsidR="0064260F" w:rsidRDefault="0064260F">
      <w:pPr>
        <w:pStyle w:val="BodyText"/>
        <w:kinsoku w:val="0"/>
        <w:overflowPunct w:val="0"/>
        <w:spacing w:before="9"/>
        <w:rPr>
          <w:sz w:val="20"/>
          <w:szCs w:val="20"/>
        </w:rPr>
      </w:pPr>
    </w:p>
    <w:p w14:paraId="299349E2" w14:textId="09C769D5" w:rsidR="0064260F" w:rsidRPr="00F75C52" w:rsidRDefault="004F1DA3" w:rsidP="00F75C52">
      <w:pPr>
        <w:pStyle w:val="ListParagraph"/>
        <w:tabs>
          <w:tab w:val="left" w:pos="1322"/>
        </w:tabs>
        <w:kinsoku w:val="0"/>
        <w:overflowPunct w:val="0"/>
        <w:ind w:right="145" w:firstLine="0"/>
        <w:jc w:val="both"/>
        <w:rPr>
          <w:rStyle w:val="Hyperlink"/>
          <w:sz w:val="22"/>
          <w:szCs w:val="22"/>
        </w:rPr>
      </w:pPr>
      <w:r>
        <w:t xml:space="preserve">Australian Securities and Investment Commission: </w:t>
      </w:r>
      <w:hyperlink r:id="rId21" w:history="1">
        <w:r w:rsidR="000D6B50" w:rsidRPr="00F274AA">
          <w:rPr>
            <w:rStyle w:val="Hyperlink"/>
            <w:rFonts w:cs="Arial"/>
          </w:rPr>
          <w:t>www.asic.gov.au</w:t>
        </w:r>
      </w:hyperlink>
    </w:p>
    <w:p w14:paraId="03E311CD" w14:textId="77777777" w:rsidR="002913A5" w:rsidRPr="00F75C52" w:rsidRDefault="002913A5" w:rsidP="00F75C52">
      <w:pPr>
        <w:pStyle w:val="ListParagraph"/>
        <w:tabs>
          <w:tab w:val="left" w:pos="1322"/>
        </w:tabs>
        <w:kinsoku w:val="0"/>
        <w:overflowPunct w:val="0"/>
        <w:ind w:right="145" w:firstLine="0"/>
        <w:jc w:val="both"/>
        <w:rPr>
          <w:rStyle w:val="Hyperlink"/>
          <w:sz w:val="22"/>
          <w:szCs w:val="22"/>
        </w:rPr>
      </w:pPr>
    </w:p>
    <w:p w14:paraId="44E871BC" w14:textId="77777777" w:rsidR="0064260F" w:rsidRDefault="0064260F">
      <w:pPr>
        <w:pStyle w:val="BodyText"/>
        <w:kinsoku w:val="0"/>
        <w:overflowPunct w:val="0"/>
        <w:spacing w:before="7"/>
        <w:rPr>
          <w:sz w:val="20"/>
          <w:szCs w:val="20"/>
        </w:rPr>
      </w:pPr>
    </w:p>
    <w:p w14:paraId="29AB0710" w14:textId="77777777" w:rsidR="0064260F" w:rsidRPr="00241EAE" w:rsidRDefault="004F1DA3">
      <w:pPr>
        <w:pStyle w:val="BodyText"/>
        <w:kinsoku w:val="0"/>
        <w:overflowPunct w:val="0"/>
        <w:ind w:left="130"/>
        <w:rPr>
          <w:b/>
          <w:bCs/>
          <w:color w:val="2E74B5"/>
          <w:sz w:val="18"/>
          <w:szCs w:val="18"/>
        </w:rPr>
      </w:pPr>
      <w:r w:rsidRPr="00241EAE">
        <w:rPr>
          <w:b/>
          <w:bCs/>
          <w:color w:val="2E74B5"/>
        </w:rPr>
        <w:t>K</w:t>
      </w:r>
      <w:r w:rsidRPr="00241EAE">
        <w:rPr>
          <w:b/>
          <w:bCs/>
          <w:color w:val="2E74B5"/>
          <w:sz w:val="18"/>
          <w:szCs w:val="18"/>
        </w:rPr>
        <w:t>EY OFFICIAL STATISTICAL REFERENCE AND SOURCES ON PRIVATE PENSIONS</w:t>
      </w:r>
    </w:p>
    <w:p w14:paraId="0F6923F9" w14:textId="7D8FB047" w:rsidR="002913A5" w:rsidRDefault="002913A5">
      <w:pPr>
        <w:pStyle w:val="BodyText"/>
        <w:kinsoku w:val="0"/>
        <w:overflowPunct w:val="0"/>
        <w:spacing w:before="124" w:line="465" w:lineRule="auto"/>
        <w:ind w:left="572" w:right="1270"/>
      </w:pPr>
      <w:r>
        <w:t>A</w:t>
      </w:r>
      <w:r w:rsidR="003B7BB9">
        <w:t>ustralian Bureau of Statistics</w:t>
      </w:r>
      <w:r w:rsidR="00930081">
        <w:t xml:space="preserve">: </w:t>
      </w:r>
      <w:hyperlink r:id="rId22" w:history="1">
        <w:r w:rsidR="00930081">
          <w:rPr>
            <w:rStyle w:val="Hyperlink"/>
          </w:rPr>
          <w:t>Population | Australian Bureau of Statistics (abs.gov.au)</w:t>
        </w:r>
      </w:hyperlink>
      <w:r w:rsidR="00930081">
        <w:t xml:space="preserve"> </w:t>
      </w:r>
    </w:p>
    <w:p w14:paraId="601FCFEB" w14:textId="5BDF8F73" w:rsidR="001C51A2" w:rsidRDefault="004F1DA3">
      <w:pPr>
        <w:pStyle w:val="BodyText"/>
        <w:kinsoku w:val="0"/>
        <w:overflowPunct w:val="0"/>
        <w:spacing w:before="124" w:line="465" w:lineRule="auto"/>
        <w:ind w:left="572" w:right="1270"/>
        <w:rPr>
          <w:color w:val="000000"/>
        </w:rPr>
      </w:pPr>
      <w:r>
        <w:t xml:space="preserve">APRA, </w:t>
      </w:r>
      <w:r>
        <w:rPr>
          <w:i/>
          <w:iCs/>
        </w:rPr>
        <w:t>Annual Superannuation Bulletin</w:t>
      </w:r>
      <w:r>
        <w:t xml:space="preserve">: </w:t>
      </w:r>
      <w:hyperlink r:id="rId23" w:history="1">
        <w:r>
          <w:rPr>
            <w:color w:val="0000FF"/>
            <w:u w:val="single"/>
          </w:rPr>
          <w:t>www.apra.gov.au/statistics</w:t>
        </w:r>
      </w:hyperlink>
      <w:r>
        <w:rPr>
          <w:color w:val="000000"/>
        </w:rPr>
        <w:t>.</w:t>
      </w:r>
    </w:p>
    <w:p w14:paraId="16378D67" w14:textId="1CF79A02" w:rsidR="009960B1" w:rsidRPr="009960B1" w:rsidRDefault="004F1DA3">
      <w:pPr>
        <w:pStyle w:val="BodyText"/>
        <w:kinsoku w:val="0"/>
        <w:overflowPunct w:val="0"/>
        <w:spacing w:before="124" w:line="465" w:lineRule="auto"/>
        <w:ind w:left="572" w:right="1270"/>
        <w:rPr>
          <w:color w:val="000000"/>
        </w:rPr>
      </w:pPr>
      <w:r>
        <w:rPr>
          <w:color w:val="000000"/>
        </w:rPr>
        <w:t>APRA</w:t>
      </w:r>
      <w:r w:rsidR="002913A5">
        <w:rPr>
          <w:color w:val="000000"/>
        </w:rPr>
        <w:t>,</w:t>
      </w:r>
      <w:r w:rsidR="002913A5">
        <w:rPr>
          <w:i/>
          <w:iCs/>
          <w:color w:val="000000"/>
        </w:rPr>
        <w:t xml:space="preserve"> Quarterly</w:t>
      </w:r>
      <w:r>
        <w:rPr>
          <w:i/>
          <w:iCs/>
          <w:color w:val="000000"/>
        </w:rPr>
        <w:t xml:space="preserve"> Superannuation Statistics</w:t>
      </w:r>
      <w:r w:rsidR="004B1D7F">
        <w:rPr>
          <w:color w:val="000000"/>
        </w:rPr>
        <w:t xml:space="preserve">: </w:t>
      </w:r>
      <w:hyperlink r:id="rId24" w:history="1">
        <w:r w:rsidR="00A47894">
          <w:rPr>
            <w:rStyle w:val="Hyperlink"/>
          </w:rPr>
          <w:t>Statistics list | APRA</w:t>
        </w:r>
      </w:hyperlink>
    </w:p>
    <w:p w14:paraId="20C13433" w14:textId="2A8F0971" w:rsidR="0064260F" w:rsidRDefault="004F1DA3">
      <w:pPr>
        <w:pStyle w:val="BodyText"/>
        <w:kinsoku w:val="0"/>
        <w:overflowPunct w:val="0"/>
        <w:spacing w:before="124" w:line="465" w:lineRule="auto"/>
        <w:ind w:left="572" w:right="1270"/>
        <w:rPr>
          <w:color w:val="000000"/>
        </w:rPr>
      </w:pPr>
      <w:r>
        <w:rPr>
          <w:color w:val="000000"/>
        </w:rPr>
        <w:t xml:space="preserve">OECD, Global Pension Statistics project: </w:t>
      </w:r>
      <w:hyperlink r:id="rId25" w:history="1">
        <w:r>
          <w:rPr>
            <w:color w:val="0000FF"/>
            <w:u w:val="single"/>
          </w:rPr>
          <w:t>www.oecd.org/daf/pensions/gps</w:t>
        </w:r>
      </w:hyperlink>
      <w:r>
        <w:rPr>
          <w:color w:val="000000"/>
        </w:rPr>
        <w:t>.</w:t>
      </w:r>
    </w:p>
    <w:p w14:paraId="5150A08B" w14:textId="727E026E" w:rsidR="00BC01D2" w:rsidRDefault="004F1DA3" w:rsidP="00BC01D2">
      <w:pPr>
        <w:pStyle w:val="BodyText"/>
        <w:kinsoku w:val="0"/>
        <w:overflowPunct w:val="0"/>
        <w:spacing w:before="124" w:line="465" w:lineRule="auto"/>
        <w:ind w:left="572" w:right="1270"/>
      </w:pPr>
      <w:r>
        <w:t>Treasury (202</w:t>
      </w:r>
      <w:r w:rsidR="00F15ABE">
        <w:t>0</w:t>
      </w:r>
      <w:r>
        <w:t xml:space="preserve">), Retirement Income </w:t>
      </w:r>
      <w:r w:rsidR="00025E6F">
        <w:t>Review</w:t>
      </w:r>
      <w:r>
        <w:t xml:space="preserve">: </w:t>
      </w:r>
      <w:hyperlink r:id="rId26" w:history="1">
        <w:r w:rsidR="00F15ABE">
          <w:rPr>
            <w:rStyle w:val="Hyperlink"/>
          </w:rPr>
          <w:t>treasury.gov.au/publication/p2020-100554</w:t>
        </w:r>
      </w:hyperlink>
      <w:r w:rsidR="00F3396B">
        <w:t xml:space="preserve"> </w:t>
      </w:r>
    </w:p>
    <w:p w14:paraId="370F70F9" w14:textId="3D0878B2" w:rsidR="00805DDF" w:rsidRPr="00F75C52" w:rsidRDefault="00805DDF" w:rsidP="006147A8">
      <w:pPr>
        <w:pStyle w:val="BodyText"/>
        <w:kinsoku w:val="0"/>
        <w:overflowPunct w:val="0"/>
        <w:spacing w:before="124" w:line="465" w:lineRule="auto"/>
        <w:ind w:left="572" w:right="1270"/>
      </w:pPr>
    </w:p>
    <w:sectPr w:rsidR="00805DDF" w:rsidRPr="00F75C52">
      <w:headerReference w:type="default" r:id="rId27"/>
      <w:footerReference w:type="even" r:id="rId28"/>
      <w:footerReference w:type="default" r:id="rId29"/>
      <w:footerReference w:type="first" r:id="rId30"/>
      <w:pgSz w:w="11910" w:h="16840"/>
      <w:pgMar w:top="1660" w:right="1100" w:bottom="1480" w:left="1060" w:header="1250" w:footer="12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B9A4" w14:textId="77777777" w:rsidR="001A4FEE" w:rsidRDefault="001A4FEE">
      <w:r>
        <w:separator/>
      </w:r>
    </w:p>
  </w:endnote>
  <w:endnote w:type="continuationSeparator" w:id="0">
    <w:p w14:paraId="5CF46C10" w14:textId="77777777" w:rsidR="001A4FEE" w:rsidRDefault="001A4FEE">
      <w:r>
        <w:continuationSeparator/>
      </w:r>
    </w:p>
  </w:endnote>
  <w:endnote w:type="continuationNotice" w:id="1">
    <w:p w14:paraId="38C80F28" w14:textId="77777777" w:rsidR="001A4FEE" w:rsidRDefault="001A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C212" w14:textId="471DCDE6" w:rsidR="00F75C52" w:rsidRDefault="00F75C52">
    <w:pPr>
      <w:pStyle w:val="Footer"/>
    </w:pPr>
    <w:r>
      <w:rPr>
        <w:noProof/>
      </w:rPr>
      <mc:AlternateContent>
        <mc:Choice Requires="wps">
          <w:drawing>
            <wp:anchor distT="0" distB="0" distL="0" distR="0" simplePos="0" relativeHeight="251660289" behindDoc="0" locked="0" layoutInCell="1" allowOverlap="1" wp14:anchorId="5D70BFFA" wp14:editId="491C19E9">
              <wp:simplePos x="635" y="635"/>
              <wp:positionH relativeFrom="page">
                <wp:align>center</wp:align>
              </wp:positionH>
              <wp:positionV relativeFrom="page">
                <wp:align>bottom</wp:align>
              </wp:positionV>
              <wp:extent cx="443865" cy="443865"/>
              <wp:effectExtent l="0" t="0" r="13335" b="0"/>
              <wp:wrapNone/>
              <wp:docPr id="6" name="Text Box 6"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F8860" w14:textId="0A4F8B64"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0BFFA" id="_x0000_t202" coordsize="21600,21600" o:spt="202" path="m,l,21600r21600,l21600,xe">
              <v:stroke joinstyle="miter"/>
              <v:path gradientshapeok="t" o:connecttype="rect"/>
            </v:shapetype>
            <v:shape id="Text Box 6" o:spid="_x0000_s1028" type="#_x0000_t202" alt="Restricted Use - À usage restreint"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2EF8860" w14:textId="0A4F8B64"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FCAC" w14:textId="5F135BD9" w:rsidR="00241EAE" w:rsidRDefault="00F75C52">
    <w:pPr>
      <w:pStyle w:val="Footer"/>
      <w:jc w:val="right"/>
    </w:pPr>
    <w:r>
      <w:rPr>
        <w:noProof/>
      </w:rPr>
      <mc:AlternateContent>
        <mc:Choice Requires="wps">
          <w:drawing>
            <wp:anchor distT="0" distB="0" distL="0" distR="0" simplePos="0" relativeHeight="251661313" behindDoc="0" locked="0" layoutInCell="1" allowOverlap="1" wp14:anchorId="04B77159" wp14:editId="3A5E901E">
              <wp:simplePos x="635" y="635"/>
              <wp:positionH relativeFrom="page">
                <wp:align>center</wp:align>
              </wp:positionH>
              <wp:positionV relativeFrom="page">
                <wp:align>bottom</wp:align>
              </wp:positionV>
              <wp:extent cx="443865" cy="443865"/>
              <wp:effectExtent l="0" t="0" r="13335" b="0"/>
              <wp:wrapNone/>
              <wp:docPr id="7" name="Text Box 7"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019E5" w14:textId="377E4534"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77159" id="_x0000_t202" coordsize="21600,21600" o:spt="202" path="m,l,21600r21600,l21600,xe">
              <v:stroke joinstyle="miter"/>
              <v:path gradientshapeok="t" o:connecttype="rect"/>
            </v:shapetype>
            <v:shape id="Text Box 7" o:spid="_x0000_s1029" type="#_x0000_t202" alt="Restricted Use - À usage restreint"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1D019E5" w14:textId="377E4534"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4F1DA3">
      <w:rPr>
        <w:noProof/>
      </w:rPr>
      <mc:AlternateContent>
        <mc:Choice Requires="wps">
          <w:drawing>
            <wp:anchor distT="45720" distB="45720" distL="114300" distR="114300" simplePos="0" relativeHeight="251658241" behindDoc="0" locked="0" layoutInCell="1" allowOverlap="1" wp14:anchorId="01F1545F" wp14:editId="223E689A">
              <wp:simplePos x="0" y="0"/>
              <wp:positionH relativeFrom="column">
                <wp:posOffset>-155575</wp:posOffset>
              </wp:positionH>
              <wp:positionV relativeFrom="paragraph">
                <wp:posOffset>125730</wp:posOffset>
              </wp:positionV>
              <wp:extent cx="3837305" cy="1739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17A2F" w14:textId="6943F506" w:rsidR="00241EAE" w:rsidRPr="005803BD" w:rsidRDefault="004F1DA3">
                          <w:pPr>
                            <w:rPr>
                              <w:sz w:val="18"/>
                              <w:szCs w:val="18"/>
                            </w:rPr>
                          </w:pPr>
                          <w:r w:rsidRPr="005803BD">
                            <w:rPr>
                              <w:sz w:val="18"/>
                              <w:szCs w:val="18"/>
                            </w:rPr>
                            <w:t xml:space="preserve">IOPS Countries Profiles – AUSTRALIA, </w:t>
                          </w:r>
                          <w:r w:rsidR="00F75C52">
                            <w:rPr>
                              <w:sz w:val="18"/>
                              <w:szCs w:val="18"/>
                            </w:rPr>
                            <w:t>July</w:t>
                          </w:r>
                          <w:r w:rsidR="0085677B">
                            <w:rPr>
                              <w:sz w:val="18"/>
                              <w:szCs w:val="18"/>
                            </w:rPr>
                            <w:t xml:space="preserve"> 202</w:t>
                          </w:r>
                          <w:r w:rsidR="00CA0089">
                            <w:rPr>
                              <w:sz w:val="18"/>
                              <w:szCs w:val="1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F1545F" id="Text Box 1" o:spid="_x0000_s1030" type="#_x0000_t202" style="position:absolute;left:0;text-align:left;margin-left:-12.25pt;margin-top:9.9pt;width:302.15pt;height:137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" stroked="f">
              <v:textbox style="mso-fit-shape-to-text:t">
                <w:txbxContent>
                  <w:p w14:paraId="50617A2F" w14:textId="6943F506" w:rsidR="00241EAE" w:rsidRPr="005803BD" w:rsidRDefault="004F1DA3">
                    <w:pPr>
                      <w:rPr>
                        <w:sz w:val="18"/>
                        <w:szCs w:val="18"/>
                      </w:rPr>
                    </w:pPr>
                    <w:r w:rsidRPr="005803BD">
                      <w:rPr>
                        <w:sz w:val="18"/>
                        <w:szCs w:val="18"/>
                      </w:rPr>
                      <w:t xml:space="preserve">IOPS Countries Profiles – AUSTRALIA, </w:t>
                    </w:r>
                    <w:r w:rsidR="00F75C52">
                      <w:rPr>
                        <w:sz w:val="18"/>
                        <w:szCs w:val="18"/>
                      </w:rPr>
                      <w:t>July</w:t>
                    </w:r>
                    <w:r w:rsidR="0085677B">
                      <w:rPr>
                        <w:sz w:val="18"/>
                        <w:szCs w:val="18"/>
                      </w:rPr>
                      <w:t xml:space="preserve"> 202</w:t>
                    </w:r>
                    <w:r w:rsidR="00CA0089">
                      <w:rPr>
                        <w:sz w:val="18"/>
                        <w:szCs w:val="18"/>
                      </w:rPr>
                      <w:t>4</w:t>
                    </w:r>
                  </w:p>
                </w:txbxContent>
              </v:textbox>
              <w10:wrap type="square"/>
            </v:shape>
          </w:pict>
        </mc:Fallback>
      </mc:AlternateContent>
    </w:r>
    <w:r w:rsidR="004F1DA3">
      <w:fldChar w:fldCharType="begin"/>
    </w:r>
    <w:r w:rsidR="004F1DA3">
      <w:instrText xml:space="preserve"> PAGE   \* MERGEFORMAT </w:instrText>
    </w:r>
    <w:r w:rsidR="004F1DA3">
      <w:fldChar w:fldCharType="separate"/>
    </w:r>
    <w:r w:rsidR="00E43F0C">
      <w:rPr>
        <w:noProof/>
      </w:rPr>
      <w:t>5</w:t>
    </w:r>
    <w:r w:rsidR="004F1DA3">
      <w:fldChar w:fldCharType="end"/>
    </w:r>
  </w:p>
  <w:p w14:paraId="144A5D23" w14:textId="77777777" w:rsidR="0064260F" w:rsidRDefault="0064260F">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E492" w14:textId="600DD7A7" w:rsidR="00F75C52" w:rsidRDefault="00F75C52">
    <w:pPr>
      <w:pStyle w:val="Footer"/>
    </w:pPr>
    <w:r>
      <w:rPr>
        <w:noProof/>
      </w:rPr>
      <mc:AlternateContent>
        <mc:Choice Requires="wps">
          <w:drawing>
            <wp:anchor distT="0" distB="0" distL="0" distR="0" simplePos="0" relativeHeight="251659265" behindDoc="0" locked="0" layoutInCell="1" allowOverlap="1" wp14:anchorId="0E170480" wp14:editId="5E661B39">
              <wp:simplePos x="635" y="635"/>
              <wp:positionH relativeFrom="page">
                <wp:align>center</wp:align>
              </wp:positionH>
              <wp:positionV relativeFrom="page">
                <wp:align>bottom</wp:align>
              </wp:positionV>
              <wp:extent cx="443865" cy="443865"/>
              <wp:effectExtent l="0" t="0" r="13335" b="0"/>
              <wp:wrapNone/>
              <wp:docPr id="5" name="Text Box 5"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EA2D3" w14:textId="01094D7A"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70480" id="_x0000_t202" coordsize="21600,21600" o:spt="202" path="m,l,21600r21600,l21600,xe">
              <v:stroke joinstyle="miter"/>
              <v:path gradientshapeok="t" o:connecttype="rect"/>
            </v:shapetype>
            <v:shape id="Text Box 5" o:spid="_x0000_s1031" type="#_x0000_t202" alt="Restricted Use - À usage restreint"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8EA2D3" w14:textId="01094D7A" w:rsidR="00F75C52" w:rsidRPr="00F75C52" w:rsidRDefault="00F75C52" w:rsidP="00F75C52">
                    <w:pPr>
                      <w:rPr>
                        <w:rFonts w:ascii="Calibri" w:eastAsia="Calibri" w:hAnsi="Calibri" w:cs="Calibri"/>
                        <w:noProof/>
                        <w:color w:val="0000FF"/>
                        <w:sz w:val="20"/>
                        <w:szCs w:val="20"/>
                      </w:rPr>
                    </w:pPr>
                    <w:r w:rsidRPr="00F75C52">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1D5C" w14:textId="77777777" w:rsidR="001A4FEE" w:rsidRDefault="001A4FEE">
      <w:r>
        <w:separator/>
      </w:r>
    </w:p>
  </w:footnote>
  <w:footnote w:type="continuationSeparator" w:id="0">
    <w:p w14:paraId="4124F31A" w14:textId="77777777" w:rsidR="001A4FEE" w:rsidRDefault="001A4FEE">
      <w:r>
        <w:continuationSeparator/>
      </w:r>
    </w:p>
  </w:footnote>
  <w:footnote w:type="continuationNotice" w:id="1">
    <w:p w14:paraId="23C374CB" w14:textId="77777777" w:rsidR="001A4FEE" w:rsidRDefault="001A4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F87" w14:textId="00A8496A" w:rsidR="0064260F" w:rsidRDefault="004F1DA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2EB20004" wp14:editId="7DB77430">
              <wp:simplePos x="0" y="0"/>
              <wp:positionH relativeFrom="page">
                <wp:posOffset>3688715</wp:posOffset>
              </wp:positionH>
              <wp:positionV relativeFrom="page">
                <wp:posOffset>781050</wp:posOffset>
              </wp:positionV>
              <wp:extent cx="14668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4AA7" w14:textId="77777777" w:rsidR="0064260F" w:rsidRDefault="0064260F">
                          <w:pPr>
                            <w:pStyle w:val="BodyText"/>
                            <w:kinsoku w:val="0"/>
                            <w:overflowPunct w:val="0"/>
                            <w:spacing w:before="11"/>
                            <w:ind w:left="60"/>
                            <w:rPr>
                              <w:rFonts w:ascii="Times New Roman" w:hAnsi="Times New Roman" w:cs="Times New Roman"/>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B20004" id="_x0000_t202" coordsize="21600,21600" o:spt="202" path="m,l,21600r21600,l21600,xe">
              <v:stroke joinstyle="miter"/>
              <v:path gradientshapeok="t" o:connecttype="rect"/>
            </v:shapetype>
            <v:shape id="Text Box 2" o:spid="_x0000_s1027" type="#_x0000_t202" style="position:absolute;margin-left:290.45pt;margin-top:61.5pt;width:11.5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" o:allowincell="f" filled="f" stroked="f">
              <v:textbox inset="0,0,0,0">
                <w:txbxContent>
                  <w:p w14:paraId="37914AA7" w14:textId="77777777" w:rsidR="0064260F" w:rsidRDefault="0064260F">
                    <w:pPr>
                      <w:pStyle w:val="BodyText"/>
                      <w:kinsoku w:val="0"/>
                      <w:overflowPunct w:val="0"/>
                      <w:spacing w:before="11"/>
                      <w:ind w:left="60"/>
                      <w:rPr>
                        <w:rFonts w:ascii="Times New Roman" w:hAnsi="Times New Roman" w:cs="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313" w:hanging="180"/>
      </w:pPr>
      <w:rPr>
        <w:rFonts w:ascii="Arial" w:hAnsi="Arial" w:cs="Arial"/>
        <w:b w:val="0"/>
        <w:bCs w:val="0"/>
        <w:spacing w:val="-1"/>
        <w:w w:val="100"/>
        <w:sz w:val="16"/>
        <w:szCs w:val="16"/>
      </w:rPr>
    </w:lvl>
    <w:lvl w:ilvl="1">
      <w:numFmt w:val="bullet"/>
      <w:lvlText w:val="•"/>
      <w:lvlJc w:val="left"/>
      <w:pPr>
        <w:ind w:left="5762" w:hanging="180"/>
      </w:pPr>
    </w:lvl>
    <w:lvl w:ilvl="2">
      <w:numFmt w:val="bullet"/>
      <w:lvlText w:val="•"/>
      <w:lvlJc w:val="left"/>
      <w:pPr>
        <w:ind w:left="6205" w:hanging="180"/>
      </w:pPr>
    </w:lvl>
    <w:lvl w:ilvl="3">
      <w:numFmt w:val="bullet"/>
      <w:lvlText w:val="•"/>
      <w:lvlJc w:val="left"/>
      <w:pPr>
        <w:ind w:left="6647" w:hanging="180"/>
      </w:pPr>
    </w:lvl>
    <w:lvl w:ilvl="4">
      <w:numFmt w:val="bullet"/>
      <w:lvlText w:val="•"/>
      <w:lvlJc w:val="left"/>
      <w:pPr>
        <w:ind w:left="7090" w:hanging="180"/>
      </w:pPr>
    </w:lvl>
    <w:lvl w:ilvl="5">
      <w:numFmt w:val="bullet"/>
      <w:lvlText w:val="•"/>
      <w:lvlJc w:val="left"/>
      <w:pPr>
        <w:ind w:left="7533" w:hanging="180"/>
      </w:pPr>
    </w:lvl>
    <w:lvl w:ilvl="6">
      <w:numFmt w:val="bullet"/>
      <w:lvlText w:val="•"/>
      <w:lvlJc w:val="left"/>
      <w:pPr>
        <w:ind w:left="7975" w:hanging="180"/>
      </w:pPr>
    </w:lvl>
    <w:lvl w:ilvl="7">
      <w:numFmt w:val="bullet"/>
      <w:lvlText w:val="•"/>
      <w:lvlJc w:val="left"/>
      <w:pPr>
        <w:ind w:left="8418" w:hanging="180"/>
      </w:pPr>
    </w:lvl>
    <w:lvl w:ilvl="8">
      <w:numFmt w:val="bullet"/>
      <w:lvlText w:val="•"/>
      <w:lvlJc w:val="left"/>
      <w:pPr>
        <w:ind w:left="8861" w:hanging="180"/>
      </w:pPr>
    </w:lvl>
  </w:abstractNum>
  <w:abstractNum w:abstractNumId="1" w15:restartNumberingAfterBreak="0">
    <w:nsid w:val="00000403"/>
    <w:multiLevelType w:val="multilevel"/>
    <w:tmpl w:val="FFFFFFFF"/>
    <w:lvl w:ilvl="0">
      <w:numFmt w:val="bullet"/>
      <w:lvlText w:val="•"/>
      <w:lvlJc w:val="left"/>
      <w:pPr>
        <w:ind w:left="651" w:hanging="521"/>
      </w:pPr>
      <w:rPr>
        <w:rFonts w:ascii="Times New Roman" w:hAnsi="Times New Roman"/>
        <w:b w:val="0"/>
        <w:w w:val="100"/>
        <w:sz w:val="22"/>
      </w:rPr>
    </w:lvl>
    <w:lvl w:ilvl="1">
      <w:numFmt w:val="bullet"/>
      <w:lvlText w:val=""/>
      <w:lvlJc w:val="left"/>
      <w:pPr>
        <w:ind w:left="1292" w:hanging="389"/>
      </w:pPr>
      <w:rPr>
        <w:rFonts w:ascii="Symbol" w:hAnsi="Symbol"/>
        <w:b w:val="0"/>
        <w:color w:val="8DB3E1"/>
        <w:w w:val="100"/>
        <w:sz w:val="22"/>
      </w:rPr>
    </w:lvl>
    <w:lvl w:ilvl="2">
      <w:numFmt w:val="bullet"/>
      <w:lvlText w:val="•"/>
      <w:lvlJc w:val="left"/>
      <w:pPr>
        <w:ind w:left="2238" w:hanging="389"/>
      </w:pPr>
    </w:lvl>
    <w:lvl w:ilvl="3">
      <w:numFmt w:val="bullet"/>
      <w:lvlText w:val="•"/>
      <w:lvlJc w:val="left"/>
      <w:pPr>
        <w:ind w:left="3176" w:hanging="389"/>
      </w:pPr>
    </w:lvl>
    <w:lvl w:ilvl="4">
      <w:numFmt w:val="bullet"/>
      <w:lvlText w:val="•"/>
      <w:lvlJc w:val="left"/>
      <w:pPr>
        <w:ind w:left="4115" w:hanging="389"/>
      </w:pPr>
    </w:lvl>
    <w:lvl w:ilvl="5">
      <w:numFmt w:val="bullet"/>
      <w:lvlText w:val="•"/>
      <w:lvlJc w:val="left"/>
      <w:pPr>
        <w:ind w:left="5053" w:hanging="389"/>
      </w:pPr>
    </w:lvl>
    <w:lvl w:ilvl="6">
      <w:numFmt w:val="bullet"/>
      <w:lvlText w:val="•"/>
      <w:lvlJc w:val="left"/>
      <w:pPr>
        <w:ind w:left="5992" w:hanging="389"/>
      </w:pPr>
    </w:lvl>
    <w:lvl w:ilvl="7">
      <w:numFmt w:val="bullet"/>
      <w:lvlText w:val="•"/>
      <w:lvlJc w:val="left"/>
      <w:pPr>
        <w:ind w:left="6930" w:hanging="389"/>
      </w:pPr>
    </w:lvl>
    <w:lvl w:ilvl="8">
      <w:numFmt w:val="bullet"/>
      <w:lvlText w:val="•"/>
      <w:lvlJc w:val="left"/>
      <w:pPr>
        <w:ind w:left="7869" w:hanging="389"/>
      </w:pPr>
    </w:lvl>
  </w:abstractNum>
  <w:abstractNum w:abstractNumId="2" w15:restartNumberingAfterBreak="0">
    <w:nsid w:val="236D51BF"/>
    <w:multiLevelType w:val="hybridMultilevel"/>
    <w:tmpl w:val="99143528"/>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 w15:restartNumberingAfterBreak="0">
    <w:nsid w:val="4902081D"/>
    <w:multiLevelType w:val="multilevel"/>
    <w:tmpl w:val="0E76245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20535A"/>
    <w:multiLevelType w:val="hybridMultilevel"/>
    <w:tmpl w:val="29B678EA"/>
    <w:lvl w:ilvl="0" w:tplc="45482DB0">
      <w:start w:val="1"/>
      <w:numFmt w:val="decimal"/>
      <w:lvlText w:val="%1."/>
      <w:lvlJc w:val="left"/>
      <w:pPr>
        <w:ind w:left="868" w:hanging="360"/>
      </w:pPr>
      <w:rPr>
        <w:rFonts w:hint="default"/>
        <w:sz w:val="16"/>
        <w:szCs w:val="16"/>
      </w:rPr>
    </w:lvl>
    <w:lvl w:ilvl="1" w:tplc="0C090019" w:tentative="1">
      <w:start w:val="1"/>
      <w:numFmt w:val="lowerLetter"/>
      <w:lvlText w:val="%2."/>
      <w:lvlJc w:val="left"/>
      <w:pPr>
        <w:ind w:left="1588" w:hanging="360"/>
      </w:pPr>
    </w:lvl>
    <w:lvl w:ilvl="2" w:tplc="0C09001B" w:tentative="1">
      <w:start w:val="1"/>
      <w:numFmt w:val="lowerRoman"/>
      <w:lvlText w:val="%3."/>
      <w:lvlJc w:val="right"/>
      <w:pPr>
        <w:ind w:left="2308" w:hanging="180"/>
      </w:pPr>
    </w:lvl>
    <w:lvl w:ilvl="3" w:tplc="0C09000F" w:tentative="1">
      <w:start w:val="1"/>
      <w:numFmt w:val="decimal"/>
      <w:lvlText w:val="%4."/>
      <w:lvlJc w:val="left"/>
      <w:pPr>
        <w:ind w:left="3028" w:hanging="360"/>
      </w:pPr>
    </w:lvl>
    <w:lvl w:ilvl="4" w:tplc="0C090019" w:tentative="1">
      <w:start w:val="1"/>
      <w:numFmt w:val="lowerLetter"/>
      <w:lvlText w:val="%5."/>
      <w:lvlJc w:val="left"/>
      <w:pPr>
        <w:ind w:left="3748" w:hanging="360"/>
      </w:pPr>
    </w:lvl>
    <w:lvl w:ilvl="5" w:tplc="0C09001B" w:tentative="1">
      <w:start w:val="1"/>
      <w:numFmt w:val="lowerRoman"/>
      <w:lvlText w:val="%6."/>
      <w:lvlJc w:val="right"/>
      <w:pPr>
        <w:ind w:left="4468" w:hanging="180"/>
      </w:pPr>
    </w:lvl>
    <w:lvl w:ilvl="6" w:tplc="0C09000F" w:tentative="1">
      <w:start w:val="1"/>
      <w:numFmt w:val="decimal"/>
      <w:lvlText w:val="%7."/>
      <w:lvlJc w:val="left"/>
      <w:pPr>
        <w:ind w:left="5188" w:hanging="360"/>
      </w:pPr>
    </w:lvl>
    <w:lvl w:ilvl="7" w:tplc="0C090019" w:tentative="1">
      <w:start w:val="1"/>
      <w:numFmt w:val="lowerLetter"/>
      <w:lvlText w:val="%8."/>
      <w:lvlJc w:val="left"/>
      <w:pPr>
        <w:ind w:left="5908" w:hanging="360"/>
      </w:pPr>
    </w:lvl>
    <w:lvl w:ilvl="8" w:tplc="0C09001B" w:tentative="1">
      <w:start w:val="1"/>
      <w:numFmt w:val="lowerRoman"/>
      <w:lvlText w:val="%9."/>
      <w:lvlJc w:val="right"/>
      <w:pPr>
        <w:ind w:left="6628" w:hanging="180"/>
      </w:pPr>
    </w:lvl>
  </w:abstractNum>
  <w:num w:numId="1" w16cid:durableId="1727289970">
    <w:abstractNumId w:val="1"/>
  </w:num>
  <w:num w:numId="2" w16cid:durableId="830557180">
    <w:abstractNumId w:val="0"/>
  </w:num>
  <w:num w:numId="3" w16cid:durableId="642124305">
    <w:abstractNumId w:val="3"/>
  </w:num>
  <w:num w:numId="4" w16cid:durableId="1044449005">
    <w:abstractNumId w:val="4"/>
  </w:num>
  <w:num w:numId="5" w16cid:durableId="36572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AE"/>
    <w:rsid w:val="00013F62"/>
    <w:rsid w:val="00020822"/>
    <w:rsid w:val="00021498"/>
    <w:rsid w:val="000219C4"/>
    <w:rsid w:val="00022D11"/>
    <w:rsid w:val="00024E5F"/>
    <w:rsid w:val="00025E6F"/>
    <w:rsid w:val="00051772"/>
    <w:rsid w:val="00053821"/>
    <w:rsid w:val="000617B4"/>
    <w:rsid w:val="00064EC0"/>
    <w:rsid w:val="000669E6"/>
    <w:rsid w:val="00081A08"/>
    <w:rsid w:val="0009149A"/>
    <w:rsid w:val="00095BE7"/>
    <w:rsid w:val="000B07B0"/>
    <w:rsid w:val="000B2A7D"/>
    <w:rsid w:val="000B398D"/>
    <w:rsid w:val="000B4D15"/>
    <w:rsid w:val="000C27F3"/>
    <w:rsid w:val="000D02CF"/>
    <w:rsid w:val="000D6B50"/>
    <w:rsid w:val="000E0345"/>
    <w:rsid w:val="000E289B"/>
    <w:rsid w:val="000E5E88"/>
    <w:rsid w:val="000E78EF"/>
    <w:rsid w:val="000F38DF"/>
    <w:rsid w:val="000F5FBF"/>
    <w:rsid w:val="000F6027"/>
    <w:rsid w:val="0010002D"/>
    <w:rsid w:val="00103723"/>
    <w:rsid w:val="00104B65"/>
    <w:rsid w:val="00104D7B"/>
    <w:rsid w:val="0010636B"/>
    <w:rsid w:val="0011000B"/>
    <w:rsid w:val="00110C5E"/>
    <w:rsid w:val="0011560C"/>
    <w:rsid w:val="00116F01"/>
    <w:rsid w:val="001646B9"/>
    <w:rsid w:val="00165CA6"/>
    <w:rsid w:val="00166BDA"/>
    <w:rsid w:val="0017118A"/>
    <w:rsid w:val="00172819"/>
    <w:rsid w:val="00173B0D"/>
    <w:rsid w:val="00182471"/>
    <w:rsid w:val="001A0BED"/>
    <w:rsid w:val="001A1D8A"/>
    <w:rsid w:val="001A2DBF"/>
    <w:rsid w:val="001A4FEE"/>
    <w:rsid w:val="001A74B4"/>
    <w:rsid w:val="001B278A"/>
    <w:rsid w:val="001B7F67"/>
    <w:rsid w:val="001C51A2"/>
    <w:rsid w:val="001C7E48"/>
    <w:rsid w:val="001D237C"/>
    <w:rsid w:val="001E3F97"/>
    <w:rsid w:val="00201FB7"/>
    <w:rsid w:val="00213363"/>
    <w:rsid w:val="002261E0"/>
    <w:rsid w:val="00231C54"/>
    <w:rsid w:val="00241DD0"/>
    <w:rsid w:val="00241DDE"/>
    <w:rsid w:val="00241EAE"/>
    <w:rsid w:val="002431AA"/>
    <w:rsid w:val="0024441A"/>
    <w:rsid w:val="002465CD"/>
    <w:rsid w:val="00247026"/>
    <w:rsid w:val="002477B9"/>
    <w:rsid w:val="0025238B"/>
    <w:rsid w:val="00256B81"/>
    <w:rsid w:val="00274193"/>
    <w:rsid w:val="002913A5"/>
    <w:rsid w:val="002913BA"/>
    <w:rsid w:val="00294AC7"/>
    <w:rsid w:val="002A11D9"/>
    <w:rsid w:val="002A2F0C"/>
    <w:rsid w:val="002A63C8"/>
    <w:rsid w:val="002B17BF"/>
    <w:rsid w:val="002D38B3"/>
    <w:rsid w:val="002D3D20"/>
    <w:rsid w:val="002E2959"/>
    <w:rsid w:val="002E2DA1"/>
    <w:rsid w:val="002E30F5"/>
    <w:rsid w:val="002E36BA"/>
    <w:rsid w:val="002E750D"/>
    <w:rsid w:val="002E789B"/>
    <w:rsid w:val="00306AA6"/>
    <w:rsid w:val="00306D35"/>
    <w:rsid w:val="0031103F"/>
    <w:rsid w:val="00314F4B"/>
    <w:rsid w:val="00316FDB"/>
    <w:rsid w:val="00321126"/>
    <w:rsid w:val="003244AF"/>
    <w:rsid w:val="00326D6B"/>
    <w:rsid w:val="003360B6"/>
    <w:rsid w:val="003442AE"/>
    <w:rsid w:val="00350D94"/>
    <w:rsid w:val="0035230C"/>
    <w:rsid w:val="00355AE7"/>
    <w:rsid w:val="00356448"/>
    <w:rsid w:val="00363B90"/>
    <w:rsid w:val="003756D2"/>
    <w:rsid w:val="00386607"/>
    <w:rsid w:val="00386C13"/>
    <w:rsid w:val="00396CF4"/>
    <w:rsid w:val="003A0463"/>
    <w:rsid w:val="003B7BB9"/>
    <w:rsid w:val="003E6459"/>
    <w:rsid w:val="003E6D37"/>
    <w:rsid w:val="003F192E"/>
    <w:rsid w:val="003F3637"/>
    <w:rsid w:val="003F5B31"/>
    <w:rsid w:val="003F78F8"/>
    <w:rsid w:val="00400879"/>
    <w:rsid w:val="00407575"/>
    <w:rsid w:val="004204F4"/>
    <w:rsid w:val="0042311B"/>
    <w:rsid w:val="00424566"/>
    <w:rsid w:val="00424601"/>
    <w:rsid w:val="00427C29"/>
    <w:rsid w:val="00431D2F"/>
    <w:rsid w:val="004376BD"/>
    <w:rsid w:val="004426C7"/>
    <w:rsid w:val="004460FC"/>
    <w:rsid w:val="00454F4E"/>
    <w:rsid w:val="0046059C"/>
    <w:rsid w:val="00464FC8"/>
    <w:rsid w:val="004710E3"/>
    <w:rsid w:val="00473FB2"/>
    <w:rsid w:val="004773BA"/>
    <w:rsid w:val="00477FAE"/>
    <w:rsid w:val="00484F47"/>
    <w:rsid w:val="004867DA"/>
    <w:rsid w:val="00486F9D"/>
    <w:rsid w:val="00494112"/>
    <w:rsid w:val="004A0804"/>
    <w:rsid w:val="004A1FE5"/>
    <w:rsid w:val="004A4DCF"/>
    <w:rsid w:val="004B03DB"/>
    <w:rsid w:val="004B1D7F"/>
    <w:rsid w:val="004B55C9"/>
    <w:rsid w:val="004C2841"/>
    <w:rsid w:val="004C4816"/>
    <w:rsid w:val="004D7596"/>
    <w:rsid w:val="004E2E48"/>
    <w:rsid w:val="004E5DB4"/>
    <w:rsid w:val="004E6851"/>
    <w:rsid w:val="004F17FF"/>
    <w:rsid w:val="004F1DA3"/>
    <w:rsid w:val="004F4B83"/>
    <w:rsid w:val="00506A1A"/>
    <w:rsid w:val="00510E55"/>
    <w:rsid w:val="00512400"/>
    <w:rsid w:val="00516F06"/>
    <w:rsid w:val="005219F7"/>
    <w:rsid w:val="005225FC"/>
    <w:rsid w:val="005303B7"/>
    <w:rsid w:val="005339EC"/>
    <w:rsid w:val="00535A12"/>
    <w:rsid w:val="005366AB"/>
    <w:rsid w:val="005407DE"/>
    <w:rsid w:val="00541222"/>
    <w:rsid w:val="005606F8"/>
    <w:rsid w:val="00566E66"/>
    <w:rsid w:val="00575FE2"/>
    <w:rsid w:val="00576952"/>
    <w:rsid w:val="005803BD"/>
    <w:rsid w:val="00580CEC"/>
    <w:rsid w:val="00580F81"/>
    <w:rsid w:val="00583954"/>
    <w:rsid w:val="005854D2"/>
    <w:rsid w:val="00590C52"/>
    <w:rsid w:val="00591D88"/>
    <w:rsid w:val="00594D4E"/>
    <w:rsid w:val="005B3518"/>
    <w:rsid w:val="005C161C"/>
    <w:rsid w:val="005C71F8"/>
    <w:rsid w:val="005C7776"/>
    <w:rsid w:val="005D11CB"/>
    <w:rsid w:val="005D5637"/>
    <w:rsid w:val="005E05CB"/>
    <w:rsid w:val="005F17BC"/>
    <w:rsid w:val="005F1A7E"/>
    <w:rsid w:val="005F215B"/>
    <w:rsid w:val="005F3942"/>
    <w:rsid w:val="005F4FF5"/>
    <w:rsid w:val="006072BC"/>
    <w:rsid w:val="00610F17"/>
    <w:rsid w:val="0061249E"/>
    <w:rsid w:val="006147A8"/>
    <w:rsid w:val="006203C8"/>
    <w:rsid w:val="00621529"/>
    <w:rsid w:val="00622E8B"/>
    <w:rsid w:val="00633EE3"/>
    <w:rsid w:val="006353AF"/>
    <w:rsid w:val="0064260F"/>
    <w:rsid w:val="006426CE"/>
    <w:rsid w:val="00653286"/>
    <w:rsid w:val="00660047"/>
    <w:rsid w:val="00675FFF"/>
    <w:rsid w:val="00694AFC"/>
    <w:rsid w:val="006962B3"/>
    <w:rsid w:val="00697D1A"/>
    <w:rsid w:val="006B0986"/>
    <w:rsid w:val="006B2962"/>
    <w:rsid w:val="006B469F"/>
    <w:rsid w:val="006C3611"/>
    <w:rsid w:val="006D3DED"/>
    <w:rsid w:val="006D6EDB"/>
    <w:rsid w:val="006E5926"/>
    <w:rsid w:val="006E5A20"/>
    <w:rsid w:val="006F01C3"/>
    <w:rsid w:val="007021DB"/>
    <w:rsid w:val="007075E5"/>
    <w:rsid w:val="00710697"/>
    <w:rsid w:val="00710B3A"/>
    <w:rsid w:val="00716C93"/>
    <w:rsid w:val="0072317C"/>
    <w:rsid w:val="00726B81"/>
    <w:rsid w:val="0073314D"/>
    <w:rsid w:val="00736340"/>
    <w:rsid w:val="007404FD"/>
    <w:rsid w:val="00741964"/>
    <w:rsid w:val="00742F57"/>
    <w:rsid w:val="007521DC"/>
    <w:rsid w:val="007531A6"/>
    <w:rsid w:val="00754259"/>
    <w:rsid w:val="00766B60"/>
    <w:rsid w:val="0077043B"/>
    <w:rsid w:val="0077574A"/>
    <w:rsid w:val="00787F16"/>
    <w:rsid w:val="00790AA3"/>
    <w:rsid w:val="007911E5"/>
    <w:rsid w:val="00796879"/>
    <w:rsid w:val="007A5825"/>
    <w:rsid w:val="007A5C80"/>
    <w:rsid w:val="007B7BF2"/>
    <w:rsid w:val="007C395A"/>
    <w:rsid w:val="007C469A"/>
    <w:rsid w:val="007D0B86"/>
    <w:rsid w:val="007E6788"/>
    <w:rsid w:val="007E6C99"/>
    <w:rsid w:val="007F1333"/>
    <w:rsid w:val="00805DDF"/>
    <w:rsid w:val="008134A1"/>
    <w:rsid w:val="0081797A"/>
    <w:rsid w:val="00817F58"/>
    <w:rsid w:val="0082149E"/>
    <w:rsid w:val="00827521"/>
    <w:rsid w:val="008302D3"/>
    <w:rsid w:val="0083559B"/>
    <w:rsid w:val="00846104"/>
    <w:rsid w:val="00850371"/>
    <w:rsid w:val="0085677B"/>
    <w:rsid w:val="008722DC"/>
    <w:rsid w:val="00880F11"/>
    <w:rsid w:val="00885143"/>
    <w:rsid w:val="00890BB2"/>
    <w:rsid w:val="00893E2E"/>
    <w:rsid w:val="00896508"/>
    <w:rsid w:val="008B5F17"/>
    <w:rsid w:val="008C4769"/>
    <w:rsid w:val="008C4A6C"/>
    <w:rsid w:val="008C5965"/>
    <w:rsid w:val="008D224A"/>
    <w:rsid w:val="008E11B3"/>
    <w:rsid w:val="008E6659"/>
    <w:rsid w:val="008F589A"/>
    <w:rsid w:val="00900979"/>
    <w:rsid w:val="00921B04"/>
    <w:rsid w:val="00927CBF"/>
    <w:rsid w:val="00930081"/>
    <w:rsid w:val="009344D2"/>
    <w:rsid w:val="009432CC"/>
    <w:rsid w:val="009501E6"/>
    <w:rsid w:val="00954214"/>
    <w:rsid w:val="009603C5"/>
    <w:rsid w:val="00960461"/>
    <w:rsid w:val="00963EDA"/>
    <w:rsid w:val="009714E2"/>
    <w:rsid w:val="009717A8"/>
    <w:rsid w:val="0097241A"/>
    <w:rsid w:val="00974E15"/>
    <w:rsid w:val="00990398"/>
    <w:rsid w:val="009960B1"/>
    <w:rsid w:val="009B0CE6"/>
    <w:rsid w:val="009B362F"/>
    <w:rsid w:val="009D0EFF"/>
    <w:rsid w:val="009D474B"/>
    <w:rsid w:val="009D5422"/>
    <w:rsid w:val="009E0792"/>
    <w:rsid w:val="009F02D2"/>
    <w:rsid w:val="009F2556"/>
    <w:rsid w:val="00A1494E"/>
    <w:rsid w:val="00A15F67"/>
    <w:rsid w:val="00A161D4"/>
    <w:rsid w:val="00A17A00"/>
    <w:rsid w:val="00A20C2D"/>
    <w:rsid w:val="00A214A1"/>
    <w:rsid w:val="00A260E1"/>
    <w:rsid w:val="00A32767"/>
    <w:rsid w:val="00A33397"/>
    <w:rsid w:val="00A42861"/>
    <w:rsid w:val="00A46165"/>
    <w:rsid w:val="00A47894"/>
    <w:rsid w:val="00A53D36"/>
    <w:rsid w:val="00A63631"/>
    <w:rsid w:val="00A658C7"/>
    <w:rsid w:val="00A65E05"/>
    <w:rsid w:val="00A67D47"/>
    <w:rsid w:val="00A81FDF"/>
    <w:rsid w:val="00A82434"/>
    <w:rsid w:val="00A82D52"/>
    <w:rsid w:val="00A864BA"/>
    <w:rsid w:val="00A86AB5"/>
    <w:rsid w:val="00A90523"/>
    <w:rsid w:val="00A95B82"/>
    <w:rsid w:val="00AA6600"/>
    <w:rsid w:val="00AC1FAF"/>
    <w:rsid w:val="00AC4383"/>
    <w:rsid w:val="00AC6969"/>
    <w:rsid w:val="00AD20D8"/>
    <w:rsid w:val="00AD6A37"/>
    <w:rsid w:val="00AE2288"/>
    <w:rsid w:val="00AE717A"/>
    <w:rsid w:val="00AE7DFA"/>
    <w:rsid w:val="00B02DDF"/>
    <w:rsid w:val="00B11F78"/>
    <w:rsid w:val="00B179B5"/>
    <w:rsid w:val="00B21E15"/>
    <w:rsid w:val="00B22D5F"/>
    <w:rsid w:val="00B266F2"/>
    <w:rsid w:val="00B40715"/>
    <w:rsid w:val="00B42A9F"/>
    <w:rsid w:val="00B47508"/>
    <w:rsid w:val="00B500D2"/>
    <w:rsid w:val="00B623AA"/>
    <w:rsid w:val="00B64600"/>
    <w:rsid w:val="00B74F5C"/>
    <w:rsid w:val="00B864A6"/>
    <w:rsid w:val="00B91C51"/>
    <w:rsid w:val="00B91D13"/>
    <w:rsid w:val="00B9692C"/>
    <w:rsid w:val="00BA0587"/>
    <w:rsid w:val="00BA4E56"/>
    <w:rsid w:val="00BA7C27"/>
    <w:rsid w:val="00BB0D48"/>
    <w:rsid w:val="00BB6052"/>
    <w:rsid w:val="00BB7A3E"/>
    <w:rsid w:val="00BC01D2"/>
    <w:rsid w:val="00BC222E"/>
    <w:rsid w:val="00BC2899"/>
    <w:rsid w:val="00BC3D5D"/>
    <w:rsid w:val="00BC630F"/>
    <w:rsid w:val="00BD03EA"/>
    <w:rsid w:val="00BD1019"/>
    <w:rsid w:val="00BD63FC"/>
    <w:rsid w:val="00BE04A7"/>
    <w:rsid w:val="00BF2FB9"/>
    <w:rsid w:val="00BF4D61"/>
    <w:rsid w:val="00C24416"/>
    <w:rsid w:val="00C251D4"/>
    <w:rsid w:val="00C26D36"/>
    <w:rsid w:val="00C30C15"/>
    <w:rsid w:val="00C34C57"/>
    <w:rsid w:val="00C35283"/>
    <w:rsid w:val="00C36797"/>
    <w:rsid w:val="00C46F3D"/>
    <w:rsid w:val="00C50BDF"/>
    <w:rsid w:val="00C530E9"/>
    <w:rsid w:val="00C64D7B"/>
    <w:rsid w:val="00C66514"/>
    <w:rsid w:val="00C67622"/>
    <w:rsid w:val="00C70A33"/>
    <w:rsid w:val="00C710F2"/>
    <w:rsid w:val="00C73006"/>
    <w:rsid w:val="00C77134"/>
    <w:rsid w:val="00C77FB4"/>
    <w:rsid w:val="00C8579A"/>
    <w:rsid w:val="00C92C44"/>
    <w:rsid w:val="00C97F73"/>
    <w:rsid w:val="00CA0089"/>
    <w:rsid w:val="00CA7B52"/>
    <w:rsid w:val="00CB0F84"/>
    <w:rsid w:val="00CB1469"/>
    <w:rsid w:val="00CC2082"/>
    <w:rsid w:val="00CC59AD"/>
    <w:rsid w:val="00CC629E"/>
    <w:rsid w:val="00CC6EC6"/>
    <w:rsid w:val="00CD02EF"/>
    <w:rsid w:val="00CE1128"/>
    <w:rsid w:val="00CE2522"/>
    <w:rsid w:val="00CE3A03"/>
    <w:rsid w:val="00CE562C"/>
    <w:rsid w:val="00CE66AD"/>
    <w:rsid w:val="00CF3D59"/>
    <w:rsid w:val="00CF6B8C"/>
    <w:rsid w:val="00D01A1B"/>
    <w:rsid w:val="00D021C5"/>
    <w:rsid w:val="00D0442B"/>
    <w:rsid w:val="00D04E14"/>
    <w:rsid w:val="00D07B75"/>
    <w:rsid w:val="00D200C9"/>
    <w:rsid w:val="00D22978"/>
    <w:rsid w:val="00D246DD"/>
    <w:rsid w:val="00D274B6"/>
    <w:rsid w:val="00D61807"/>
    <w:rsid w:val="00D61C12"/>
    <w:rsid w:val="00D62BD7"/>
    <w:rsid w:val="00D642BD"/>
    <w:rsid w:val="00D734CB"/>
    <w:rsid w:val="00D740BB"/>
    <w:rsid w:val="00D76902"/>
    <w:rsid w:val="00D81F75"/>
    <w:rsid w:val="00D830C5"/>
    <w:rsid w:val="00D83763"/>
    <w:rsid w:val="00D8459A"/>
    <w:rsid w:val="00D8539F"/>
    <w:rsid w:val="00D90525"/>
    <w:rsid w:val="00DA5C30"/>
    <w:rsid w:val="00DC0BA0"/>
    <w:rsid w:val="00DC0C7B"/>
    <w:rsid w:val="00DD1242"/>
    <w:rsid w:val="00DE5698"/>
    <w:rsid w:val="00DF24BF"/>
    <w:rsid w:val="00E1400E"/>
    <w:rsid w:val="00E14353"/>
    <w:rsid w:val="00E362FB"/>
    <w:rsid w:val="00E37649"/>
    <w:rsid w:val="00E4095A"/>
    <w:rsid w:val="00E43F0C"/>
    <w:rsid w:val="00E454E1"/>
    <w:rsid w:val="00E54DBB"/>
    <w:rsid w:val="00E640A6"/>
    <w:rsid w:val="00E74919"/>
    <w:rsid w:val="00E75B35"/>
    <w:rsid w:val="00E81C79"/>
    <w:rsid w:val="00E836E6"/>
    <w:rsid w:val="00E866E4"/>
    <w:rsid w:val="00E9771D"/>
    <w:rsid w:val="00EA3374"/>
    <w:rsid w:val="00EC0345"/>
    <w:rsid w:val="00EC3CF5"/>
    <w:rsid w:val="00EC54F3"/>
    <w:rsid w:val="00EC6150"/>
    <w:rsid w:val="00EC7E41"/>
    <w:rsid w:val="00ED0929"/>
    <w:rsid w:val="00ED2B99"/>
    <w:rsid w:val="00EE421C"/>
    <w:rsid w:val="00EF0033"/>
    <w:rsid w:val="00EF123C"/>
    <w:rsid w:val="00EF52FE"/>
    <w:rsid w:val="00F01590"/>
    <w:rsid w:val="00F01A90"/>
    <w:rsid w:val="00F10813"/>
    <w:rsid w:val="00F12C7D"/>
    <w:rsid w:val="00F15ABE"/>
    <w:rsid w:val="00F1605E"/>
    <w:rsid w:val="00F204F8"/>
    <w:rsid w:val="00F22971"/>
    <w:rsid w:val="00F2570A"/>
    <w:rsid w:val="00F2633A"/>
    <w:rsid w:val="00F27A73"/>
    <w:rsid w:val="00F3396B"/>
    <w:rsid w:val="00F35FE8"/>
    <w:rsid w:val="00F36A3F"/>
    <w:rsid w:val="00F36E11"/>
    <w:rsid w:val="00F46CFA"/>
    <w:rsid w:val="00F527BB"/>
    <w:rsid w:val="00F57F2E"/>
    <w:rsid w:val="00F62098"/>
    <w:rsid w:val="00F63517"/>
    <w:rsid w:val="00F64983"/>
    <w:rsid w:val="00F67157"/>
    <w:rsid w:val="00F71026"/>
    <w:rsid w:val="00F7261A"/>
    <w:rsid w:val="00F73C1E"/>
    <w:rsid w:val="00F75C52"/>
    <w:rsid w:val="00F7781C"/>
    <w:rsid w:val="00F8190C"/>
    <w:rsid w:val="00F8591B"/>
    <w:rsid w:val="00F879E0"/>
    <w:rsid w:val="00F94C4E"/>
    <w:rsid w:val="00F95B65"/>
    <w:rsid w:val="00FA4CF5"/>
    <w:rsid w:val="00FA7A6A"/>
    <w:rsid w:val="00FB123A"/>
    <w:rsid w:val="00FB1888"/>
    <w:rsid w:val="00FB6BB6"/>
    <w:rsid w:val="00FB75AF"/>
    <w:rsid w:val="00FC09AD"/>
    <w:rsid w:val="00FC1DD4"/>
    <w:rsid w:val="00FC3E3A"/>
    <w:rsid w:val="00FD2417"/>
    <w:rsid w:val="00FD388B"/>
    <w:rsid w:val="00FD652B"/>
    <w:rsid w:val="00FE2901"/>
    <w:rsid w:val="00FE79C4"/>
    <w:rsid w:val="00FE7F4A"/>
    <w:rsid w:val="00FF6065"/>
    <w:rsid w:val="00FF7188"/>
    <w:rsid w:val="0A35A174"/>
    <w:rsid w:val="0EF75223"/>
    <w:rsid w:val="1E65EBF6"/>
    <w:rsid w:val="208E7A5F"/>
    <w:rsid w:val="2870BD69"/>
    <w:rsid w:val="2C9EC538"/>
    <w:rsid w:val="2E1CC934"/>
    <w:rsid w:val="2F26EE53"/>
    <w:rsid w:val="327388A3"/>
    <w:rsid w:val="3398C3AE"/>
    <w:rsid w:val="43E375EF"/>
    <w:rsid w:val="47D23FB0"/>
    <w:rsid w:val="4945DBF2"/>
    <w:rsid w:val="4B2D0E51"/>
    <w:rsid w:val="4DE7B901"/>
    <w:rsid w:val="51F4AFF1"/>
    <w:rsid w:val="5307D4D6"/>
    <w:rsid w:val="59ADC711"/>
    <w:rsid w:val="5B3093E5"/>
    <w:rsid w:val="61CD6E6B"/>
    <w:rsid w:val="6A6854E9"/>
    <w:rsid w:val="6BFE09CC"/>
    <w:rsid w:val="7B407C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57E05B6E"/>
  <w15:docId w15:val="{2056DB51-CB64-4F2E-A045-1C4EF41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lang w:eastAsia="en-GB"/>
    </w:rPr>
  </w:style>
  <w:style w:type="paragraph" w:styleId="Heading1">
    <w:name w:val="heading 1"/>
    <w:basedOn w:val="Normal"/>
    <w:next w:val="Normal"/>
    <w:link w:val="Heading1Char"/>
    <w:uiPriority w:val="1"/>
    <w:qFormat/>
    <w:pPr>
      <w:spacing w:line="238" w:lineRule="exact"/>
      <w:ind w:left="2623" w:right="263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locked/>
    <w:rPr>
      <w:rFonts w:ascii="Arial" w:hAnsi="Arial" w:cs="Times New Roman"/>
    </w:rPr>
  </w:style>
  <w:style w:type="paragraph" w:styleId="Title">
    <w:name w:val="Title"/>
    <w:basedOn w:val="Normal"/>
    <w:next w:val="Normal"/>
    <w:link w:val="TitleChar"/>
    <w:uiPriority w:val="1"/>
    <w:qFormat/>
    <w:pPr>
      <w:spacing w:before="236"/>
      <w:ind w:left="600"/>
    </w:pPr>
    <w:rPr>
      <w:sz w:val="36"/>
      <w:szCs w:val="36"/>
    </w:rPr>
  </w:style>
  <w:style w:type="character" w:customStyle="1" w:styleId="TitleChar">
    <w:name w:val="Title Char"/>
    <w:basedOn w:val="DefaultParagraphFont"/>
    <w:link w:val="Title"/>
    <w:uiPriority w:val="10"/>
    <w:locked/>
    <w:rPr>
      <w:rFonts w:ascii="Calibri Light" w:hAnsi="Calibri Light" w:cs="Times New Roman"/>
      <w:b/>
      <w:kern w:val="28"/>
      <w:sz w:val="32"/>
    </w:rPr>
  </w:style>
  <w:style w:type="paragraph" w:styleId="ListParagraph">
    <w:name w:val="List Paragraph"/>
    <w:basedOn w:val="Normal"/>
    <w:uiPriority w:val="1"/>
    <w:qFormat/>
    <w:pPr>
      <w:ind w:left="1292" w:hanging="360"/>
    </w:pPr>
    <w:rPr>
      <w:sz w:val="24"/>
      <w:szCs w:val="24"/>
    </w:rPr>
  </w:style>
  <w:style w:type="paragraph" w:customStyle="1" w:styleId="TableParagraph">
    <w:name w:val="Table Paragraph"/>
    <w:basedOn w:val="Normal"/>
    <w:uiPriority w:val="1"/>
    <w:qFormat/>
    <w:rPr>
      <w:rFonts w:ascii="Arial Narrow" w:hAnsi="Arial Narrow" w:cs="Arial Narrow"/>
      <w:sz w:val="24"/>
      <w:szCs w:val="24"/>
    </w:rPr>
  </w:style>
  <w:style w:type="paragraph" w:styleId="Header">
    <w:name w:val="header"/>
    <w:basedOn w:val="Normal"/>
    <w:link w:val="HeaderChar"/>
    <w:uiPriority w:val="99"/>
    <w:unhideWhenUsed/>
    <w:rsid w:val="00241EAE"/>
    <w:pPr>
      <w:tabs>
        <w:tab w:val="center" w:pos="4513"/>
        <w:tab w:val="right" w:pos="9026"/>
      </w:tabs>
    </w:pPr>
  </w:style>
  <w:style w:type="character" w:customStyle="1" w:styleId="HeaderChar">
    <w:name w:val="Header Char"/>
    <w:basedOn w:val="DefaultParagraphFont"/>
    <w:link w:val="Header"/>
    <w:uiPriority w:val="99"/>
    <w:locked/>
    <w:rsid w:val="00241EAE"/>
    <w:rPr>
      <w:rFonts w:ascii="Arial" w:hAnsi="Arial" w:cs="Times New Roman"/>
    </w:rPr>
  </w:style>
  <w:style w:type="paragraph" w:styleId="Footer">
    <w:name w:val="footer"/>
    <w:basedOn w:val="Normal"/>
    <w:link w:val="FooterChar"/>
    <w:uiPriority w:val="99"/>
    <w:unhideWhenUsed/>
    <w:rsid w:val="00241EAE"/>
    <w:pPr>
      <w:tabs>
        <w:tab w:val="center" w:pos="4513"/>
        <w:tab w:val="right" w:pos="9026"/>
      </w:tabs>
    </w:pPr>
  </w:style>
  <w:style w:type="character" w:customStyle="1" w:styleId="FooterChar">
    <w:name w:val="Footer Char"/>
    <w:basedOn w:val="DefaultParagraphFont"/>
    <w:link w:val="Footer"/>
    <w:uiPriority w:val="99"/>
    <w:locked/>
    <w:rsid w:val="00241EAE"/>
    <w:rPr>
      <w:rFonts w:ascii="Arial" w:hAnsi="Arial" w:cs="Times New Roman"/>
    </w:rPr>
  </w:style>
  <w:style w:type="table" w:styleId="TableGrid">
    <w:name w:val="Table Grid"/>
    <w:basedOn w:val="TableNormal"/>
    <w:uiPriority w:val="39"/>
    <w:rsid w:val="00241EAE"/>
    <w:rPr>
      <w:rFont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F0C"/>
    <w:rPr>
      <w:rFonts w:cs="Times New Roman"/>
      <w:color w:val="0563C1" w:themeColor="hyperlink"/>
      <w:u w:val="single"/>
    </w:rPr>
  </w:style>
  <w:style w:type="character" w:styleId="CommentReference">
    <w:name w:val="annotation reference"/>
    <w:basedOn w:val="DefaultParagraphFont"/>
    <w:uiPriority w:val="99"/>
    <w:semiHidden/>
    <w:unhideWhenUsed/>
    <w:rsid w:val="00E43F0C"/>
    <w:rPr>
      <w:rFonts w:cs="Times New Roman"/>
      <w:sz w:val="16"/>
      <w:szCs w:val="16"/>
    </w:rPr>
  </w:style>
  <w:style w:type="paragraph" w:styleId="CommentText">
    <w:name w:val="annotation text"/>
    <w:basedOn w:val="Normal"/>
    <w:link w:val="CommentTextChar"/>
    <w:uiPriority w:val="99"/>
    <w:unhideWhenUsed/>
    <w:rsid w:val="001A4FEE"/>
    <w:rPr>
      <w:sz w:val="20"/>
      <w:szCs w:val="20"/>
    </w:rPr>
  </w:style>
  <w:style w:type="character" w:customStyle="1" w:styleId="CommentTextChar">
    <w:name w:val="Comment Text Char"/>
    <w:basedOn w:val="DefaultParagraphFont"/>
    <w:link w:val="CommentText"/>
    <w:uiPriority w:val="99"/>
    <w:locked/>
    <w:rsid w:val="00E43F0C"/>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E43F0C"/>
    <w:rPr>
      <w:b/>
      <w:bCs/>
    </w:rPr>
  </w:style>
  <w:style w:type="character" w:customStyle="1" w:styleId="CommentSubjectChar">
    <w:name w:val="Comment Subject Char"/>
    <w:basedOn w:val="CommentTextChar"/>
    <w:link w:val="CommentSubject"/>
    <w:uiPriority w:val="99"/>
    <w:semiHidden/>
    <w:locked/>
    <w:rsid w:val="00E43F0C"/>
    <w:rPr>
      <w:rFonts w:ascii="Arial" w:hAnsi="Arial" w:cs="Arial"/>
      <w:b/>
      <w:bCs/>
      <w:lang w:eastAsia="en-GB"/>
    </w:rPr>
  </w:style>
  <w:style w:type="paragraph" w:styleId="BalloonText">
    <w:name w:val="Balloon Text"/>
    <w:basedOn w:val="Normal"/>
    <w:link w:val="BalloonTextChar"/>
    <w:uiPriority w:val="99"/>
    <w:semiHidden/>
    <w:unhideWhenUsed/>
    <w:rsid w:val="00E43F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3F0C"/>
    <w:rPr>
      <w:rFonts w:ascii="Segoe UI" w:hAnsi="Segoe UI" w:cs="Segoe UI"/>
      <w:sz w:val="18"/>
      <w:szCs w:val="18"/>
    </w:rPr>
  </w:style>
  <w:style w:type="paragraph" w:styleId="Revision">
    <w:name w:val="Revision"/>
    <w:hidden/>
    <w:uiPriority w:val="99"/>
    <w:semiHidden/>
    <w:rsid w:val="000E289B"/>
    <w:rPr>
      <w:rFonts w:ascii="Arial" w:hAnsi="Arial" w:cs="Arial"/>
      <w:sz w:val="22"/>
      <w:szCs w:val="22"/>
      <w:lang w:eastAsia="en-GB"/>
    </w:rPr>
  </w:style>
  <w:style w:type="character" w:styleId="FollowedHyperlink">
    <w:name w:val="FollowedHyperlink"/>
    <w:basedOn w:val="DefaultParagraphFont"/>
    <w:uiPriority w:val="99"/>
    <w:semiHidden/>
    <w:unhideWhenUsed/>
    <w:rsid w:val="00024E5F"/>
    <w:rPr>
      <w:color w:val="954F72" w:themeColor="followedHyperlink"/>
      <w:u w:val="single"/>
    </w:rPr>
  </w:style>
  <w:style w:type="paragraph" w:styleId="FootnoteText">
    <w:name w:val="footnote text"/>
    <w:basedOn w:val="Normal"/>
    <w:link w:val="FootnoteTextChar"/>
    <w:uiPriority w:val="99"/>
    <w:semiHidden/>
    <w:unhideWhenUsed/>
    <w:rsid w:val="00FE2901"/>
    <w:rPr>
      <w:sz w:val="20"/>
      <w:szCs w:val="20"/>
    </w:rPr>
  </w:style>
  <w:style w:type="character" w:customStyle="1" w:styleId="FootnoteTextChar">
    <w:name w:val="Footnote Text Char"/>
    <w:basedOn w:val="DefaultParagraphFont"/>
    <w:link w:val="FootnoteText"/>
    <w:uiPriority w:val="99"/>
    <w:semiHidden/>
    <w:rsid w:val="00FE2901"/>
    <w:rPr>
      <w:rFonts w:ascii="Arial" w:hAnsi="Arial" w:cs="Arial"/>
      <w:lang w:eastAsia="en-GB"/>
    </w:rPr>
  </w:style>
  <w:style w:type="character" w:styleId="FootnoteReference">
    <w:name w:val="footnote reference"/>
    <w:basedOn w:val="DefaultParagraphFont"/>
    <w:uiPriority w:val="99"/>
    <w:semiHidden/>
    <w:unhideWhenUsed/>
    <w:rsid w:val="00FE2901"/>
    <w:rPr>
      <w:vertAlign w:val="superscript"/>
    </w:rPr>
  </w:style>
  <w:style w:type="character" w:styleId="UnresolvedMention">
    <w:name w:val="Unresolved Mention"/>
    <w:basedOn w:val="DefaultParagraphFont"/>
    <w:uiPriority w:val="99"/>
    <w:semiHidden/>
    <w:unhideWhenUsed/>
    <w:rsid w:val="00710B3A"/>
    <w:rPr>
      <w:color w:val="605E5C"/>
      <w:shd w:val="clear" w:color="auto" w:fill="E1DFDD"/>
    </w:rPr>
  </w:style>
  <w:style w:type="paragraph" w:customStyle="1" w:styleId="Bullet">
    <w:name w:val="Bullet"/>
    <w:basedOn w:val="Normal"/>
    <w:link w:val="BulletChar"/>
    <w:rsid w:val="008C4769"/>
    <w:pPr>
      <w:numPr>
        <w:numId w:val="3"/>
      </w:numPr>
      <w:kinsoku w:val="0"/>
      <w:overflowPunct w:val="0"/>
      <w:spacing w:before="9"/>
    </w:pPr>
  </w:style>
  <w:style w:type="character" w:customStyle="1" w:styleId="BulletChar">
    <w:name w:val="Bullet Char"/>
    <w:basedOn w:val="BodyTextChar"/>
    <w:link w:val="Bullet"/>
    <w:rsid w:val="008C4769"/>
    <w:rPr>
      <w:rFonts w:ascii="Arial" w:hAnsi="Arial" w:cs="Arial"/>
      <w:sz w:val="22"/>
      <w:szCs w:val="22"/>
      <w:lang w:eastAsia="en-GB"/>
    </w:rPr>
  </w:style>
  <w:style w:type="paragraph" w:customStyle="1" w:styleId="Dash">
    <w:name w:val="Dash"/>
    <w:basedOn w:val="Normal"/>
    <w:link w:val="DashChar"/>
    <w:rsid w:val="008C4769"/>
    <w:pPr>
      <w:numPr>
        <w:ilvl w:val="1"/>
        <w:numId w:val="3"/>
      </w:numPr>
      <w:kinsoku w:val="0"/>
      <w:overflowPunct w:val="0"/>
      <w:spacing w:before="9"/>
    </w:pPr>
  </w:style>
  <w:style w:type="character" w:customStyle="1" w:styleId="DashChar">
    <w:name w:val="Dash Char"/>
    <w:basedOn w:val="BodyTextChar"/>
    <w:link w:val="Dash"/>
    <w:rsid w:val="008C4769"/>
    <w:rPr>
      <w:rFonts w:ascii="Arial" w:hAnsi="Arial" w:cs="Arial"/>
      <w:sz w:val="22"/>
      <w:szCs w:val="22"/>
      <w:lang w:eastAsia="en-GB"/>
    </w:rPr>
  </w:style>
  <w:style w:type="paragraph" w:customStyle="1" w:styleId="DoubleDot">
    <w:name w:val="Double Dot"/>
    <w:basedOn w:val="Normal"/>
    <w:link w:val="DoubleDotChar"/>
    <w:rsid w:val="008C4769"/>
    <w:pPr>
      <w:numPr>
        <w:ilvl w:val="2"/>
        <w:numId w:val="3"/>
      </w:numPr>
      <w:kinsoku w:val="0"/>
      <w:overflowPunct w:val="0"/>
      <w:spacing w:before="9"/>
    </w:pPr>
  </w:style>
  <w:style w:type="character" w:customStyle="1" w:styleId="DoubleDotChar">
    <w:name w:val="Double Dot Char"/>
    <w:basedOn w:val="BodyTextChar"/>
    <w:link w:val="DoubleDot"/>
    <w:rsid w:val="008C4769"/>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au/C2004A04633/2017-03-01/text" TargetMode="External"/><Relationship Id="rId26" Type="http://schemas.openxmlformats.org/officeDocument/2006/relationships/hyperlink" Target="https://treasury.gov.au/publication/p2020-100554" TargetMode="External"/><Relationship Id="rId3" Type="http://schemas.openxmlformats.org/officeDocument/2006/relationships/customXml" Target="../customXml/item3.xml"/><Relationship Id="rId21" Type="http://schemas.openxmlformats.org/officeDocument/2006/relationships/hyperlink" Target="http://www.as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C2004A00310/2023-09-21/text" TargetMode="External"/><Relationship Id="rId25" Type="http://schemas.openxmlformats.org/officeDocument/2006/relationships/hyperlink" Target="http://www.oecd.org/daf/pensions/gps" TargetMode="External"/><Relationship Id="rId2" Type="http://schemas.openxmlformats.org/officeDocument/2006/relationships/customXml" Target="../customXml/item2.xml"/><Relationship Id="rId16" Type="http://schemas.openxmlformats.org/officeDocument/2006/relationships/hyperlink" Target="https://www.apra.gov.au/enabling-legislation" TargetMode="External"/><Relationship Id="rId20" Type="http://schemas.openxmlformats.org/officeDocument/2006/relationships/hyperlink" Target="http://www.ato.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pra.gov.au/statistic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apra.gov.au/statistic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apr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bs.gov.au/statistics/people/population"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ff776a0-f2ac-455d-9889-a581410000f1" ContentTypeId="0x0101005EE69451C4F2894DA0FC3FDF95588AF1" PreviousValue="true"/>
</file>

<file path=customXml/item2.xml><?xml version="1.0" encoding="utf-8"?>
<p:properties xmlns:p="http://schemas.microsoft.com/office/2006/metadata/properties" xmlns:xsi="http://www.w3.org/2001/XMLSchema-instance" xmlns:pc="http://schemas.microsoft.com/office/infopath/2007/PartnerControls">
  <documentManagement>
    <OECDPinnedBy xmlns="ddbd984f-848b-4d59-a9eb-1760df3af461">
      <UserInfo>
        <DisplayName/>
        <AccountId xsi:nil="true"/>
        <AccountType/>
      </UserInfo>
    </OECDPinnedBy>
    <nbb885e32ada4fa18483bd70230d535b xmlns="ddbd984f-848b-4d59-a9eb-1760df3af461">
      <Terms xmlns="http://schemas.microsoft.com/office/infopath/2007/PartnerControls">
        <TermInfo xmlns="http://schemas.microsoft.com/office/infopath/2007/PartnerControls">
          <TermName xmlns="http://schemas.microsoft.com/office/infopath/2007/PartnerControls">DAF/IPPFM</TermName>
          <TermId xmlns="http://schemas.microsoft.com/office/infopath/2007/PartnerControls">894dfadc-16c3-441c-840d-02ae3778bf04</TermId>
        </TermInfo>
      </Terms>
    </nbb885e32ada4fa18483bd70230d535b>
    <OECDYear xmlns="54c4cd27-f286-408f-9ce0-33c1e0f3ab39" xsi:nil="true"/>
    <cdaa264386b64a5eb3931631587e1776 xmlns="422d9e62-c95f-4be8-bc96-fc16e6e7af15">
      <Terms xmlns="http://schemas.microsoft.com/office/infopath/2007/PartnerControls"/>
    </cdaa264386b64a5eb3931631587e1776>
    <_dlc_DocId xmlns="422d9e62-c95f-4be8-bc96-fc16e6e7af15">ESHAREDAF-38-436286</_dlc_DocId>
    <OECDCommunityDocumentURL xmlns="ddbd984f-848b-4d59-a9eb-1760df3af461" xsi:nil="true"/>
    <OECDMainProject xmlns="ddbd984f-848b-4d59-a9eb-1760df3af461">35</OECDMainProject>
    <OECDKimStatus xmlns="54c4cd27-f286-408f-9ce0-33c1e0f3ab39" xsi:nil="true"/>
    <OECDKimBussinessContext xmlns="54c4cd27-f286-408f-9ce0-33c1e0f3ab39" xsi:nil="true"/>
    <IconOverlay xmlns="http://schemas.microsoft.com/sharepoint/v4" xsi:nil="true"/>
    <OECDExpirationDate xmlns="422d9e62-c95f-4be8-bc96-fc16e6e7af15" xsi:nil="true"/>
    <mcabdfbcfcc34b0db2b26427245c13c6 xmlns="ddbd984f-848b-4d59-a9eb-1760df3af461" xsi:nil="true"/>
    <OECDlanguage xmlns="ca82dde9-3436-4d3d-bddd-d31447390034" xsi:nil="true"/>
    <OECDAllRelatedUsers xmlns="422d9e62-c95f-4be8-bc96-fc16e6e7af15">
      <UserInfo>
        <DisplayName/>
        <AccountId xsi:nil="true"/>
        <AccountType/>
      </UserInfo>
    </OECDAllRelatedUsers>
    <OECDProjectMembers xmlns="ddbd984f-848b-4d59-a9eb-1760df3af461">
      <UserInfo>
        <DisplayName>PAKLINA Nina, DAF/CM</DisplayName>
        <AccountId>189</AccountId>
        <AccountType/>
      </UserInfo>
      <UserInfo>
        <DisplayName>CASTILLO Karen, DAF/CFIP</DisplayName>
        <AccountId>2968</AccountId>
        <AccountType/>
      </UserInfo>
      <UserInfo>
        <DisplayName>STANKO Dariusz, DAF/CM</DisplayName>
        <AccountId>350</AccountId>
        <AccountType/>
      </UserInfo>
      <UserInfo>
        <DisplayName>HOLLOWAY Kayleen, DAF/CFIP</DisplayName>
        <AccountId>3800</AccountId>
        <AccountType/>
      </UserInfo>
      <UserInfo>
        <DisplayName>OH Seungjoon, DAF/CM</DisplayName>
        <AccountId>3737</AccountId>
        <AccountType/>
      </UserInfo>
      <UserInfo>
        <DisplayName>JOACHIM Juliette, GOV/INDIGO</DisplayName>
        <AccountId>4132</AccountId>
        <AccountType/>
      </UserInfo>
      <UserInfo>
        <DisplayName>MESSY Flore-Anne, DAF</DisplayName>
        <AccountId>105</AccountId>
        <AccountType/>
      </UserInfo>
      <UserInfo>
        <DisplayName>ABBOTT Eva, DAF/CM</DisplayName>
        <AccountId>4652</AccountId>
        <AccountType/>
      </UserInfo>
      <UserInfo>
        <DisplayName>BUSCHINI Virginie, WISE/MSU</DisplayName>
        <AccountId>1378</AccountId>
        <AccountType/>
      </UserInfo>
      <UserInfo>
        <DisplayName>PALMI Johanna, DAF/CM</DisplayName>
        <AccountId>2472</AccountId>
        <AccountType/>
      </UserInfo>
      <UserInfo>
        <DisplayName>SORITA MENEZES Henrique, DAF</DisplayName>
        <AccountId>2909</AccountId>
        <AccountType/>
      </UserInfo>
      <UserInfo>
        <DisplayName>ANTOLIN Pablo, DAF/CM</DisplayName>
        <AccountId>244</AccountId>
        <AccountType/>
      </UserInfo>
      <UserInfo>
        <DisplayName>ONO Noe, DAF/CM</DisplayName>
        <AccountId>5927</AccountId>
        <AccountType/>
      </UserInfo>
    </OECDProjectMembers>
    <eShareTopicTaxHTField0 xmlns="c9f238dd-bb73-4aef-a7a5-d644ad823e52">
      <Terms xmlns="http://schemas.microsoft.com/office/infopath/2007/PartnerControls">
        <TermInfo xmlns="http://schemas.microsoft.com/office/infopath/2007/PartnerControls">
          <TermName xmlns="http://schemas.microsoft.com/office/infopath/2007/PartnerControls">Pensions</TermName>
          <TermId xmlns="http://schemas.microsoft.com/office/infopath/2007/PartnerControls">1f17aea8-ffe6-4405-a38c-76634a75a894</TermId>
        </TermInfo>
      </Terms>
    </eShareTopicTaxHTField0>
    <OECDProjectManager xmlns="ddbd984f-848b-4d59-a9eb-1760df3af461">
      <UserInfo>
        <DisplayName/>
        <AccountId>350</AccountId>
        <AccountType/>
      </UserInfo>
    </OECDProjectManager>
    <eShareCountryTaxHTField0 xmlns="c9f238dd-bb73-4aef-a7a5-d644ad823e52">
      <Terms xmlns="http://schemas.microsoft.com/office/infopath/2007/PartnerControls"/>
    </eShareCountryTaxHTField0>
    <OECDProjectLookup xmlns="ddbd984f-848b-4d59-a9eb-1760df3af461">93</OECDProjectLookup>
    <OECDKimProvenance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ffda23c2-cd1b-45cc-b3f4-67b12010cc58</TermId>
        </TermInfo>
      </Terms>
    </eSharePWBTaxHTField0>
    <OECDMeetingDate xmlns="54c4cd27-f286-408f-9ce0-33c1e0f3ab39" xsi:nil="true"/>
    <SharedWithUsers xmlns="ddbd984f-848b-4d59-a9eb-1760df3af461">
      <UserInfo>
        <DisplayName/>
        <AccountId xsi:nil="true"/>
        <AccountType/>
      </UserInfo>
    </SharedWithUsers>
    <OECDSharingStatus xmlns="ddbd984f-848b-4d59-a9eb-1760df3af461" xsi:nil="true"/>
    <eShareHorizProjTaxHTField0 xmlns="422d9e62-c95f-4be8-bc96-fc16e6e7af15" xsi:nil="true"/>
    <TaxCatchAll xmlns="ca82dde9-3436-4d3d-bddd-d31447390034">
      <Value>355</Value>
      <Value>547</Value>
      <Value>133</Value>
    </TaxCatchAll>
    <eShareKeywordsTaxHTField0 xmlns="c9f238dd-bb73-4aef-a7a5-d644ad823e52">
      <Terms xmlns="http://schemas.microsoft.com/office/infopath/2007/PartnerControls"/>
    </eShareKeywordsTaxHTField0>
    <OECDCommunityDocumentID xmlns="ddbd984f-848b-4d59-a9eb-1760df3af461" xsi:nil="true"/>
    <eShareCommitteeTaxHTField0 xmlns="c9f238dd-bb73-4aef-a7a5-d644ad823e52">
      <Terms xmlns="http://schemas.microsoft.com/office/infopath/2007/PartnerControls"/>
    </eShareCommitteeTaxHTField0>
    <OECDTagsCache xmlns="ddbd984f-848b-4d59-a9eb-1760df3af461" xsi:nil="true"/>
    <_dlc_DocIdUrl xmlns="422d9e62-c95f-4be8-bc96-fc16e6e7af15">
      <Url>https://portal.oecd.org/eshare/daf/pc/_layouts/15/DocIdRedir.aspx?ID=ESHAREDAF-38-436286</Url>
      <Description>ESHAREDAF-38-436286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CDD97BACC81094AA9235912A0087CAC" ma:contentTypeVersion="88" ma:contentTypeDescription="" ma:contentTypeScope="" ma:versionID="f2bc40432f17cb83235aabf69c3081ea">
  <xsd:schema xmlns:xsd="http://www.w3.org/2001/XMLSchema" xmlns:xs="http://www.w3.org/2001/XMLSchema" xmlns:p="http://schemas.microsoft.com/office/2006/metadata/properties" xmlns:ns1="54c4cd27-f286-408f-9ce0-33c1e0f3ab39" xmlns:ns2="422d9e62-c95f-4be8-bc96-fc16e6e7af15" xmlns:ns3="ddbd984f-848b-4d59-a9eb-1760df3af461" xmlns:ns5="c9f238dd-bb73-4aef-a7a5-d644ad823e52" xmlns:ns6="ca82dde9-3436-4d3d-bddd-d31447390034" xmlns:ns7="http://schemas.microsoft.com/sharepoint/v4" targetNamespace="http://schemas.microsoft.com/office/2006/metadata/properties" ma:root="true" ma:fieldsID="a95702705dd9608f1d3e9de7ac55711f" ns1:_="" ns2:_="" ns3:_="" ns5:_="" ns6:_="" ns7:_="">
    <xsd:import namespace="54c4cd27-f286-408f-9ce0-33c1e0f3ab39"/>
    <xsd:import namespace="422d9e62-c95f-4be8-bc96-fc16e6e7af15"/>
    <xsd:import namespace="ddbd984f-848b-4d59-a9eb-1760df3af461"/>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3:OECDTagsCache" minOccurs="0"/>
                <xsd:element ref="ns2:_dlc_DocIdUrl"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mcabdfbcfcc34b0db2b26427245c13c6" minOccurs="0"/>
                <xsd:element ref="ns2:_dlc_DocId" minOccurs="0"/>
                <xsd:element ref="ns6:OECDlanguage" minOccurs="0"/>
                <xsd:element ref="ns6:TaxCatchAll" minOccurs="0"/>
                <xsd:element ref="ns6:TaxCatchAllLabel" minOccurs="0"/>
                <xsd:element ref="ns1:OECDMeetingDate" minOccurs="0"/>
                <xsd:element ref="ns2:_dlc_DocIdPersistId" minOccurs="0"/>
                <xsd:element ref="ns2:cdaa264386b64a5eb3931631587e1776" minOccurs="0"/>
                <xsd:element ref="ns3:nbb885e32ada4fa18483bd70230d535b" minOccurs="0"/>
                <xsd:element ref="ns3:OECDSharingStatus" minOccurs="0"/>
                <xsd:element ref="ns3:OECDCommunityDocumentURL" minOccurs="0"/>
                <xsd:element ref="ns3:OECDCommunityDocumentID" minOccurs="0"/>
                <xsd:element ref="ns2:eShareHorizProjTaxHTField0" minOccurs="0"/>
                <xsd:element ref="ns2:OECDAllRelatedUsers" minOccurs="0"/>
                <xsd:element ref="ns3:SharedWithUsers" minOccurs="0"/>
                <xsd:element ref="ns7:IconOverlay" minOccurs="0"/>
                <xsd:element ref="ns1:OECDYea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3"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d9e62-c95f-4be8-bc96-fc16e6e7af1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ma:description=""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cdaa264386b64a5eb3931631587e1776" ma:index="36" nillable="true" ma:taxonomy="true" ma:internalName="cdaa264386b64a5eb3931631587e1776" ma:taxonomyFieldName="OECDHorizontalProjects" ma:displayName="Horizontal project" ma:default="" ma:fieldId="{cdaa2643-86b6-4a5e-b393-1631587e1776}"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984f-848b-4d59-a9eb-1760df3af46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bc83b2af-e160-442d-bd56-c59d584bfbe4" ma:internalName="OECDProjectLookup" ma:readOnly="false" ma:showField="OECDShortProjectName" ma:web="ddbd984f-848b-4d59-a9eb-1760df3af46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bc83b2af-e160-442d-bd56-c59d584bfbe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mcabdfbcfcc34b0db2b26427245c13c6" ma:index="26" nillable="true" ma:displayName="Deliverable owner_0" ma:hidden="true" ma:internalName="mcabdfbcfcc34b0db2b26427245c13c6">
      <xsd:simpleType>
        <xsd:restriction base="dms:Note"/>
      </xsd:simpleType>
    </xsd:element>
    <xsd:element name="nbb885e32ada4fa18483bd70230d535b" ma:index="37" nillable="true" ma:taxonomy="true" ma:internalName="nbb885e32ada4fa18483bd70230d535b" ma:taxonomyFieldName="OECDProjectOwnerStructure" ma:displayName="Project owner" ma:readOnly="false" ma:default="" ma:fieldId="7bb885e3-2ada-4fa1-8483-bd70230d535b"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30"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4d2fa938-8d37-45fa-910f-cb0aa52e3ee4}" ma:internalName="TaxCatchAll" ma:showField="CatchAllData" ma:web="422d9e62-c95f-4be8-bc96-fc16e6e7af15">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4d2fa938-8d37-45fa-910f-cb0aa52e3ee4}" ma:internalName="TaxCatchAllLabel" ma:readOnly="true" ma:showField="CatchAllDataLabel" ma:web="422d9e62-c95f-4be8-bc96-fc16e6e7a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ddbd984f-848b-4d59-a9eb-1760df3af461">
      <UserInfo>
        <DisplayName>Rose-Mary Wehbe</DisplayName>
        <AccountId>231</AccountId>
        <AccountType/>
      </UserInfo>
      <UserInfo>
        <DisplayName>Penny Limperis</DisplayName>
        <AccountId>238</AccountId>
        <AccountType/>
      </UserInfo>
      <UserInfo>
        <DisplayName>Gillian Lee</DisplayName>
        <AccountId>240</AccountId>
        <AccountType/>
      </UserInfo>
    </SharedWithUsers>
    <mcabdfbcfcc34b0db2b26427245c13c6 xmlns="ddbd984f-848b-4d59-a9eb-1760df3af461" xsi:nil="true"/>
    <eShareHorizProjTaxHTField0 xmlns="422d9e62-c95f-4be8-bc96-fc16e6e7af15" xsi:nil="true"/>
    <OECDAllRelatedUsers xmlns="422d9e62-c95f-4be8-bc96-fc16e6e7af15">
      <UserInfo>
        <DisplayName/>
        <AccountId xsi:nil="true"/>
        <AccountType/>
      </UserInfo>
    </OECDAllRelatedUsers>
    <OECDKimBussinessContext xmlns="54c4cd27-f286-408f-9ce0-33c1e0f3ab39" xsi:nil="true"/>
    <OECDTagsCache xmlns="ddbd984f-848b-4d59-a9eb-1760df3af461"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ffda23c2-cd1b-45cc-b3f4-67b12010cc58</TermId>
        </TermInfo>
      </Terms>
    </eSharePWBTaxHTField0>
    <OECDlanguage xmlns="ca82dde9-3436-4d3d-bddd-d31447390034">English</OECDlanguage>
    <OECDSharingStatus xmlns="ddbd984f-848b-4d59-a9eb-1760df3af461" xsi:nil="true"/>
    <IconOverlay xmlns="http://schemas.microsoft.com/sharepoint/v4" xsi:nil="true"/>
    <OECDCommunityDocumentURL xmlns="ddbd984f-848b-4d59-a9eb-1760df3af461" xsi:nil="true"/>
    <OECDPinnedBy xmlns="ddbd984f-848b-4d59-a9eb-1760df3af461">
      <UserInfo>
        <DisplayName/>
        <AccountId xsi:nil="true"/>
        <AccountType/>
      </UserInfo>
    </OECDPinnedBy>
    <OECDMeetingDate xmlns="54c4cd27-f286-408f-9ce0-33c1e0f3ab39" xsi:nil="true"/>
    <cdaa264386b64a5eb3931631587e1776 xmlns="422d9e62-c95f-4be8-bc96-fc16e6e7af15">
      <Terms xmlns="http://schemas.microsoft.com/office/infopath/2007/PartnerControls"/>
    </cdaa264386b64a5eb3931631587e1776>
    <nbb885e32ada4fa18483bd70230d535b xmlns="ddbd984f-848b-4d59-a9eb-1760df3af461">
      <Terms xmlns="http://schemas.microsoft.com/office/infopath/2007/PartnerControls">
        <TermInfo xmlns="http://schemas.microsoft.com/office/infopath/2007/PartnerControls">
          <TermName xmlns="http://schemas.microsoft.com/office/infopath/2007/PartnerControls">DAF/IPPFM</TermName>
          <TermId xmlns="http://schemas.microsoft.com/office/infopath/2007/PartnerControls">894dfadc-16c3-441c-840d-02ae3778bf04</TermId>
        </TermInfo>
      </Terms>
    </nbb885e32ada4fa18483bd70230d535b>
    <OECDExpirationDate xmlns="422d9e62-c95f-4be8-bc96-fc16e6e7af15" xsi:nil="true"/>
    <OECDProjectMembers xmlns="ddbd984f-848b-4d59-a9eb-1760df3af461">
      <UserInfo>
        <DisplayName>PAKLINA Nina, DAF/CM</DisplayName>
        <AccountId>189</AccountId>
        <AccountType/>
      </UserInfo>
      <UserInfo>
        <DisplayName>CASTILLO Karen, DAF/CFIP</DisplayName>
        <AccountId>2968</AccountId>
        <AccountType/>
      </UserInfo>
      <UserInfo>
        <DisplayName>STANKO Dariusz, DAF/CM</DisplayName>
        <AccountId>350</AccountId>
        <AccountType/>
      </UserInfo>
      <UserInfo>
        <DisplayName>HOLLOWAY Kayleen, DAF/CFIP</DisplayName>
        <AccountId>3800</AccountId>
        <AccountType/>
      </UserInfo>
      <UserInfo>
        <DisplayName>OH Seungjoon, DAF/CM</DisplayName>
        <AccountId>3737</AccountId>
        <AccountType/>
      </UserInfo>
      <UserInfo>
        <DisplayName>JOACHIM Juliette, GOV/INDIGO</DisplayName>
        <AccountId>4132</AccountId>
        <AccountType/>
      </UserInfo>
      <UserInfo>
        <DisplayName>MESSY Flore-Anne, DAF</DisplayName>
        <AccountId>105</AccountId>
        <AccountType/>
      </UserInfo>
      <UserInfo>
        <DisplayName>ABBOTT Eva, DAF/CM</DisplayName>
        <AccountId>4652</AccountId>
        <AccountType/>
      </UserInfo>
      <UserInfo>
        <DisplayName>BUSCHINI Virginie, WISE/MSU</DisplayName>
        <AccountId>1378</AccountId>
        <AccountType/>
      </UserInfo>
      <UserInfo>
        <DisplayName>PALMI Johanna, DAF/CM</DisplayName>
        <AccountId>2472</AccountId>
        <AccountType/>
      </UserInfo>
      <UserInfo>
        <DisplayName>SORITA MENEZES Henrique, DAF</DisplayName>
        <AccountId>2909</AccountId>
        <AccountType/>
      </UserInfo>
      <UserInfo>
        <DisplayName>ANTOLIN Pablo, DAF/CM</DisplayName>
        <AccountId>244</AccountId>
        <AccountType/>
      </UserInfo>
      <UserInfo>
        <DisplayName>ONO Noe, DAF/CM</DisplayName>
        <AccountId>5927</AccountId>
        <AccountType/>
      </UserInfo>
    </OECDProjectMembers>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OECDProjectLookup xmlns="ddbd984f-848b-4d59-a9eb-1760df3af461">93</OECDProjectLookup>
    <OECDMainProject xmlns="ddbd984f-848b-4d59-a9eb-1760df3af461">35</OECDMainProject>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Pensions</TermName>
          <TermId xmlns="http://schemas.microsoft.com/office/infopath/2007/PartnerControls">1f17aea8-ffe6-4405-a38c-76634a75a894</TermId>
        </TermInfo>
      </Terms>
    </eShareTopicTaxHTField0>
    <OECDProjectManager xmlns="ddbd984f-848b-4d59-a9eb-1760df3af461">
      <UserInfo>
        <DisplayName/>
        <AccountId>350</AccountId>
        <AccountType/>
      </UserInfo>
    </OECDProjectManager>
    <eShareKeywordsTaxHTField0 xmlns="c9f238dd-bb73-4aef-a7a5-d644ad823e52">
      <Terms xmlns="http://schemas.microsoft.com/office/infopath/2007/PartnerControls"/>
    </eShareKeywordsTaxHTField0>
    <TaxCatchAll xmlns="ca82dde9-3436-4d3d-bddd-d31447390034">
      <Value>355</Value>
      <Value>547</Value>
      <Value>133</Value>
    </TaxCatchAll>
    <OECDCommunityDocumentID xmlns="ddbd984f-848b-4d59-a9eb-1760df3af461" xsi:nil="true"/>
    <_dlc_DocId xmlns="422d9e62-c95f-4be8-bc96-fc16e6e7af15">ESHAREDAF-38-436286</_dlc_DocId>
    <_dlc_DocIdUrl xmlns="422d9e62-c95f-4be8-bc96-fc16e6e7af15">
      <Url>https://portal.oecd.org/eshare/daf/pc/_layouts/15/DocIdRedir.aspx?ID=ESHAREDAF-38-436286</Url>
      <Description>ESHAREDAF-38-436286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7B4A9-7BE8-43FD-9B5C-A5BB12ED7E1D}">
  <ds:schemaRefs>
    <ds:schemaRef ds:uri="Microsoft.SharePoint.Taxonomy.ContentTypeSync"/>
  </ds:schemaRefs>
</ds:datastoreItem>
</file>

<file path=customXml/itemProps2.xml><?xml version="1.0" encoding="utf-8"?>
<ds:datastoreItem xmlns:ds="http://schemas.openxmlformats.org/officeDocument/2006/customXml" ds:itemID="{59B60A64-1C60-47E1-845A-A8450C00F5B7}">
  <ds:schemaRefs>
    <ds:schemaRef ds:uri="http://schemas.microsoft.com/office/2006/metadata/properties"/>
    <ds:schemaRef ds:uri="http://schemas.microsoft.com/office/infopath/2007/PartnerControls"/>
    <ds:schemaRef ds:uri="29be12ea-a431-4eaf-8ccf-e0f2bc6e5ab8"/>
    <ds:schemaRef ds:uri="95c2d1d2-c827-46ba-beaf-02b545c4f6ca"/>
  </ds:schemaRefs>
</ds:datastoreItem>
</file>

<file path=customXml/itemProps3.xml><?xml version="1.0" encoding="utf-8"?>
<ds:datastoreItem xmlns:ds="http://schemas.openxmlformats.org/officeDocument/2006/customXml" ds:itemID="{A843F022-035C-48DC-92B0-E6289D6E684E}">
  <ds:schemaRefs>
    <ds:schemaRef ds:uri="http://schemas.microsoft.com/sharepoint/v3/contenttype/forms"/>
  </ds:schemaRefs>
</ds:datastoreItem>
</file>

<file path=customXml/itemProps4.xml><?xml version="1.0" encoding="utf-8"?>
<ds:datastoreItem xmlns:ds="http://schemas.openxmlformats.org/officeDocument/2006/customXml" ds:itemID="{D5850F75-41AF-4328-A179-0FC7D49F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422d9e62-c95f-4be8-bc96-fc16e6e7af15"/>
    <ds:schemaRef ds:uri="ddbd984f-848b-4d59-a9eb-1760df3af461"/>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AA89B-89B2-43AD-BF08-B6A40B7DCCC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9950b9c-69ba-4c9a-93bc-55ff189ad0aa"/>
    <ds:schemaRef ds:uri="http://purl.org/dc/dcmitype/"/>
    <ds:schemaRef ds:uri="http://purl.org/dc/terms/"/>
    <ds:schemaRef ds:uri="95c2d1d2-c827-46ba-beaf-02b545c4f6ca"/>
    <ds:schemaRef ds:uri="29be12ea-a431-4eaf-8ccf-e0f2bc6e5ab8"/>
    <ds:schemaRef ds:uri="http://schemas.microsoft.com/office/2006/metadata/properties"/>
    <ds:schemaRef ds:uri="ddbd984f-848b-4d59-a9eb-1760df3af461"/>
    <ds:schemaRef ds:uri="422d9e62-c95f-4be8-bc96-fc16e6e7af15"/>
    <ds:schemaRef ds:uri="54c4cd27-f286-408f-9ce0-33c1e0f3ab39"/>
    <ds:schemaRef ds:uri="c9f238dd-bb73-4aef-a7a5-d644ad823e52"/>
    <ds:schemaRef ds:uri="ca82dde9-3436-4d3d-bddd-d31447390034"/>
    <ds:schemaRef ds:uri="http://schemas.microsoft.com/sharepoint/v4"/>
  </ds:schemaRefs>
</ds:datastoreItem>
</file>

<file path=customXml/itemProps6.xml><?xml version="1.0" encoding="utf-8"?>
<ds:datastoreItem xmlns:ds="http://schemas.openxmlformats.org/officeDocument/2006/customXml" ds:itemID="{59F119F0-93A9-47B5-ABA5-1096C4093D99}">
  <ds:schemaRefs>
    <ds:schemaRef ds:uri="http://schemas.openxmlformats.org/officeDocument/2006/bibliography"/>
  </ds:schemaRefs>
</ds:datastoreItem>
</file>

<file path=customXml/itemProps7.xml><?xml version="1.0" encoding="utf-8"?>
<ds:datastoreItem xmlns:ds="http://schemas.openxmlformats.org/officeDocument/2006/customXml" ds:itemID="{9AF9268D-3CAA-42B3-BB3A-2D1956A47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IOPS profile Australia</vt:lpstr>
    </vt:vector>
  </TitlesOfParts>
  <Company/>
  <LinksUpToDate>false</LinksUpToDate>
  <CharactersWithSpaces>11142</CharactersWithSpaces>
  <SharedDoc>false</SharedDoc>
  <HLinks>
    <vt:vector size="60" baseType="variant">
      <vt:variant>
        <vt:i4>196627</vt:i4>
      </vt:variant>
      <vt:variant>
        <vt:i4>42</vt:i4>
      </vt:variant>
      <vt:variant>
        <vt:i4>0</vt:i4>
      </vt:variant>
      <vt:variant>
        <vt:i4>5</vt:i4>
      </vt:variant>
      <vt:variant>
        <vt:lpwstr>https://treasury.gov.au/publication/p2020-100554</vt:lpwstr>
      </vt:variant>
      <vt:variant>
        <vt:lpwstr/>
      </vt:variant>
      <vt:variant>
        <vt:i4>262173</vt:i4>
      </vt:variant>
      <vt:variant>
        <vt:i4>39</vt:i4>
      </vt:variant>
      <vt:variant>
        <vt:i4>0</vt:i4>
      </vt:variant>
      <vt:variant>
        <vt:i4>5</vt:i4>
      </vt:variant>
      <vt:variant>
        <vt:lpwstr>http://www.oecd.org/daf/pensions/gps</vt:lpwstr>
      </vt:variant>
      <vt:variant>
        <vt:lpwstr/>
      </vt:variant>
      <vt:variant>
        <vt:i4>3145824</vt:i4>
      </vt:variant>
      <vt:variant>
        <vt:i4>36</vt:i4>
      </vt:variant>
      <vt:variant>
        <vt:i4>0</vt:i4>
      </vt:variant>
      <vt:variant>
        <vt:i4>5</vt:i4>
      </vt:variant>
      <vt:variant>
        <vt:lpwstr>https://www.apra.gov.au/quarterly-superannuation-statistics</vt:lpwstr>
      </vt:variant>
      <vt:variant>
        <vt:lpwstr/>
      </vt:variant>
      <vt:variant>
        <vt:i4>5111812</vt:i4>
      </vt:variant>
      <vt:variant>
        <vt:i4>33</vt:i4>
      </vt:variant>
      <vt:variant>
        <vt:i4>0</vt:i4>
      </vt:variant>
      <vt:variant>
        <vt:i4>5</vt:i4>
      </vt:variant>
      <vt:variant>
        <vt:lpwstr>http://www.apra.gov.au/statistics</vt:lpwstr>
      </vt:variant>
      <vt:variant>
        <vt:lpwstr/>
      </vt:variant>
      <vt:variant>
        <vt:i4>7602218</vt:i4>
      </vt:variant>
      <vt:variant>
        <vt:i4>30</vt:i4>
      </vt:variant>
      <vt:variant>
        <vt:i4>0</vt:i4>
      </vt:variant>
      <vt:variant>
        <vt:i4>5</vt:i4>
      </vt:variant>
      <vt:variant>
        <vt:lpwstr>https://www.abs.gov.au/statistics/people/population</vt:lpwstr>
      </vt:variant>
      <vt:variant>
        <vt:lpwstr/>
      </vt:variant>
      <vt:variant>
        <vt:i4>3735600</vt:i4>
      </vt:variant>
      <vt:variant>
        <vt:i4>27</vt:i4>
      </vt:variant>
      <vt:variant>
        <vt:i4>0</vt:i4>
      </vt:variant>
      <vt:variant>
        <vt:i4>5</vt:i4>
      </vt:variant>
      <vt:variant>
        <vt:lpwstr>http://www.asic.gov.au/</vt:lpwstr>
      </vt:variant>
      <vt:variant>
        <vt:lpwstr/>
      </vt:variant>
      <vt:variant>
        <vt:i4>7995454</vt:i4>
      </vt:variant>
      <vt:variant>
        <vt:i4>24</vt:i4>
      </vt:variant>
      <vt:variant>
        <vt:i4>0</vt:i4>
      </vt:variant>
      <vt:variant>
        <vt:i4>5</vt:i4>
      </vt:variant>
      <vt:variant>
        <vt:lpwstr>http://www.ato.gov.au/</vt:lpwstr>
      </vt:variant>
      <vt:variant>
        <vt:lpwstr/>
      </vt:variant>
      <vt:variant>
        <vt:i4>2228273</vt:i4>
      </vt:variant>
      <vt:variant>
        <vt:i4>21</vt:i4>
      </vt:variant>
      <vt:variant>
        <vt:i4>0</vt:i4>
      </vt:variant>
      <vt:variant>
        <vt:i4>5</vt:i4>
      </vt:variant>
      <vt:variant>
        <vt:lpwstr>http://www.apra.gov.au/</vt:lpwstr>
      </vt:variant>
      <vt:variant>
        <vt:lpwstr/>
      </vt:variant>
      <vt:variant>
        <vt:i4>6815853</vt:i4>
      </vt:variant>
      <vt:variant>
        <vt:i4>9</vt:i4>
      </vt:variant>
      <vt:variant>
        <vt:i4>0</vt:i4>
      </vt:variant>
      <vt:variant>
        <vt:i4>5</vt:i4>
      </vt:variant>
      <vt:variant>
        <vt:lpwstr>https://www.legislation.gov.au/C2004A04633/2017-03-01/text</vt:lpwstr>
      </vt:variant>
      <vt:variant>
        <vt:lpwstr/>
      </vt:variant>
      <vt:variant>
        <vt:i4>6619247</vt:i4>
      </vt:variant>
      <vt:variant>
        <vt:i4>3</vt:i4>
      </vt:variant>
      <vt:variant>
        <vt:i4>0</vt:i4>
      </vt:variant>
      <vt:variant>
        <vt:i4>5</vt:i4>
      </vt:variant>
      <vt:variant>
        <vt:lpwstr>https://www.legislation.gov.au/C2004A00310/2023-09-21/text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IOPS profile Australia</dc:title>
  <dc:creator>day_S</dc:creator>
  <cp:keywords>[SEC=OFFICIAL]</cp:keywords>
  <cp:lastModifiedBy>PAKLINA Nina, DAF/CM</cp:lastModifiedBy>
  <cp:revision>12</cp:revision>
  <cp:lastPrinted>2024-04-18T01:40:00Z</cp:lastPrinted>
  <dcterms:created xsi:type="dcterms:W3CDTF">2023-07-14T01:18:00Z</dcterms:created>
  <dcterms:modified xsi:type="dcterms:W3CDTF">2024-07-25T18:09:00Z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Activity">
    <vt:lpwstr>International liaison</vt:lpwstr>
  </property>
  <property fmtid="{D5CDD505-2E9C-101B-9397-08002B2CF9AE}" pid="3" name="APRADocumentType">
    <vt:lpwstr>156;#Fact Sheet|c64fed52-5997-45fd-b7fa-377a902e430a</vt:lpwstr>
  </property>
  <property fmtid="{D5CDD505-2E9C-101B-9397-08002B2CF9AE}" pid="4" name="APRAExternalOrganisation">
    <vt:lpwstr/>
  </property>
  <property fmtid="{D5CDD505-2E9C-101B-9397-08002B2CF9AE}" pid="5" name="APRAIndustry">
    <vt:lpwstr/>
  </property>
  <property fmtid="{D5CDD505-2E9C-101B-9397-08002B2CF9AE}" pid="6" name="APRAPeriod">
    <vt:lpwstr>123;#Jan|954952ef-dd33-4a11-a4b4-f968415db969</vt:lpwstr>
  </property>
  <property fmtid="{D5CDD505-2E9C-101B-9397-08002B2CF9AE}" pid="7" name="APRAPRSG">
    <vt:lpwstr/>
  </property>
  <property fmtid="{D5CDD505-2E9C-101B-9397-08002B2CF9AE}" pid="8" name="APRAStatus">
    <vt:lpwstr>Draft</vt:lpwstr>
  </property>
  <property fmtid="{D5CDD505-2E9C-101B-9397-08002B2CF9AE}" pid="9" name="APRAYear">
    <vt:lpwstr>155;#2023|d5e8f808-70b3-4121-8a32-87755a7b2c91</vt:lpwstr>
  </property>
  <property fmtid="{D5CDD505-2E9C-101B-9397-08002B2CF9AE}" pid="10" name="ContentTypeId">
    <vt:lpwstr>0x0101008B4DD370EC31429186F3AD49F0D3098F00D44DBCB9EB4F45278CB5C9765BE5299500A4858B360C6A491AA753F8BCA47AA91000CCDD97BACC81094AA9235912A0087CAC</vt:lpwstr>
  </property>
  <property fmtid="{D5CDD505-2E9C-101B-9397-08002B2CF9AE}" pid="11" name="Creator">
    <vt:lpwstr>Microsoft® Word 2010</vt:lpwstr>
  </property>
  <property fmtid="{D5CDD505-2E9C-101B-9397-08002B2CF9AE}" pid="12" name="eActivity">
    <vt:lpwstr>18;#Stakeholder engagement|de4f175d-a0ea-42db-8e9c-ca57922e8174</vt:lpwstr>
  </property>
  <property fmtid="{D5CDD505-2E9C-101B-9397-08002B2CF9AE}" pid="13" name="eDocumentType">
    <vt:lpwstr>64;#Fact Sheet|44380093-2442-44ab-aa9c-cfd1f8bda0f6</vt:lpwstr>
  </property>
  <property fmtid="{D5CDD505-2E9C-101B-9397-08002B2CF9AE}" pid="14" name="eTheme">
    <vt:lpwstr>1;#Retirement Income|08e012f3-2b84-4155-a794-b9fc678d48ff</vt:lpwstr>
  </property>
  <property fmtid="{D5CDD505-2E9C-101B-9397-08002B2CF9AE}" pid="15" name="eTopic">
    <vt:lpwstr>125;#OECD|79ccf0eb-a162-488a-ae5c-ed1db5a2a2e3</vt:lpwstr>
  </property>
  <property fmtid="{D5CDD505-2E9C-101B-9397-08002B2CF9AE}" pid="16" name="IsLocked">
    <vt:lpwstr>False</vt:lpwstr>
  </property>
  <property fmtid="{D5CDD505-2E9C-101B-9397-08002B2CF9AE}" pid="17" name="LINKTEK-CHUNK-1">
    <vt:lpwstr>010021{"F":2,"I":"47D3-0115-06CA-1A60"}</vt:lpwstr>
  </property>
  <property fmtid="{D5CDD505-2E9C-101B-9397-08002B2CF9AE}" pid="18" name="MSIP_Label_c0129afb-6481-4f92-bc9f-5a4a6346364d_ActionId">
    <vt:lpwstr>84b9c823e2fa49f7b063b978d6f51aa3</vt:lpwstr>
  </property>
  <property fmtid="{D5CDD505-2E9C-101B-9397-08002B2CF9AE}" pid="19" name="MSIP_Label_c0129afb-6481-4f92-bc9f-5a4a6346364d_ContentBits">
    <vt:lpwstr>0</vt:lpwstr>
  </property>
  <property fmtid="{D5CDD505-2E9C-101B-9397-08002B2CF9AE}" pid="20" name="MSIP_Label_c0129afb-6481-4f92-bc9f-5a4a6346364d_Enabled">
    <vt:lpwstr>true</vt:lpwstr>
  </property>
  <property fmtid="{D5CDD505-2E9C-101B-9397-08002B2CF9AE}" pid="21" name="MSIP_Label_c0129afb-6481-4f92-bc9f-5a4a6346364d_Method">
    <vt:lpwstr>Privileged</vt:lpwstr>
  </property>
  <property fmtid="{D5CDD505-2E9C-101B-9397-08002B2CF9AE}" pid="22" name="MSIP_Label_c0129afb-6481-4f92-bc9f-5a4a6346364d_Name">
    <vt:lpwstr>OFFICIAL</vt:lpwstr>
  </property>
  <property fmtid="{D5CDD505-2E9C-101B-9397-08002B2CF9AE}" pid="23" name="MSIP_Label_c0129afb-6481-4f92-bc9f-5a4a6346364d_SetDate">
    <vt:lpwstr>2023-07-14T01:17:41Z</vt:lpwstr>
  </property>
  <property fmtid="{D5CDD505-2E9C-101B-9397-08002B2CF9AE}" pid="24" name="MSIP_Label_c0129afb-6481-4f92-bc9f-5a4a6346364d_SiteId">
    <vt:lpwstr>c05e3ffd-b491-4431-9809-e61d4dc78816</vt:lpwstr>
  </property>
  <property fmtid="{D5CDD505-2E9C-101B-9397-08002B2CF9AE}" pid="25" name="PMHMAC">
    <vt:lpwstr>v=2022.1;a=SHA256;h=77D17A65D560696D9D9E5999D45917941F7822D10B85AEA4CA9E593EE6295D61</vt:lpwstr>
  </property>
  <property fmtid="{D5CDD505-2E9C-101B-9397-08002B2CF9AE}" pid="26" name="PMUuid">
    <vt:lpwstr>v=2022.2;d=gov.au;g=46DD6D7C-8107-577B-BC6E-F348953B2E44</vt:lpwstr>
  </property>
  <property fmtid="{D5CDD505-2E9C-101B-9397-08002B2CF9AE}" pid="27" name="PM_Caveats_Count">
    <vt:lpwstr>0</vt:lpwstr>
  </property>
  <property fmtid="{D5CDD505-2E9C-101B-9397-08002B2CF9AE}" pid="28" name="PM_Display">
    <vt:lpwstr>OFFICIAL</vt:lpwstr>
  </property>
  <property fmtid="{D5CDD505-2E9C-101B-9397-08002B2CF9AE}" pid="29" name="PM_DisplayValueSecClassificationWithQualifier">
    <vt:lpwstr>OFFICIAL</vt:lpwstr>
  </property>
  <property fmtid="{D5CDD505-2E9C-101B-9397-08002B2CF9AE}" pid="30" name="PM_Hash_Salt">
    <vt:lpwstr>343C8702E83610FC9CA1E608F96B4F44</vt:lpwstr>
  </property>
  <property fmtid="{D5CDD505-2E9C-101B-9397-08002B2CF9AE}" pid="31" name="PM_Hash_Salt_Prev">
    <vt:lpwstr>C1E38CEF1C0F90C8B58D2E18B6403B9C</vt:lpwstr>
  </property>
  <property fmtid="{D5CDD505-2E9C-101B-9397-08002B2CF9AE}" pid="32" name="PM_Hash_SHA1">
    <vt:lpwstr>A04796678DA82CF6DCC08A69732530AD819ADF66</vt:lpwstr>
  </property>
  <property fmtid="{D5CDD505-2E9C-101B-9397-08002B2CF9AE}" pid="33" name="PM_Hash_Version">
    <vt:lpwstr>2022.1</vt:lpwstr>
  </property>
  <property fmtid="{D5CDD505-2E9C-101B-9397-08002B2CF9AE}" pid="34" name="PM_InsertionValue">
    <vt:lpwstr>OFFICIAL</vt:lpwstr>
  </property>
  <property fmtid="{D5CDD505-2E9C-101B-9397-08002B2CF9AE}" pid="35" name="PM_Markers">
    <vt:lpwstr/>
  </property>
  <property fmtid="{D5CDD505-2E9C-101B-9397-08002B2CF9AE}" pid="36" name="PM_Namespace">
    <vt:lpwstr>gov.au</vt:lpwstr>
  </property>
  <property fmtid="{D5CDD505-2E9C-101B-9397-08002B2CF9AE}" pid="37" name="PM_Note">
    <vt:lpwstr/>
  </property>
  <property fmtid="{D5CDD505-2E9C-101B-9397-08002B2CF9AE}" pid="38" name="PM_Originating_FileId">
    <vt:lpwstr>038EEA1E11C44C7E9E639EE2C43B57A5</vt:lpwstr>
  </property>
  <property fmtid="{D5CDD505-2E9C-101B-9397-08002B2CF9AE}" pid="39" name="PM_OriginationTimeStamp">
    <vt:lpwstr>2023-07-14T01:17:41Z</vt:lpwstr>
  </property>
  <property fmtid="{D5CDD505-2E9C-101B-9397-08002B2CF9AE}" pid="40" name="PM_OriginatorDomainName_SHA256">
    <vt:lpwstr>ECBDE2B44A971754412B3FB70606937A119CC0D4B6C1B658A40FBD41C30BE3EC</vt:lpwstr>
  </property>
  <property fmtid="{D5CDD505-2E9C-101B-9397-08002B2CF9AE}" pid="41" name="PM_OriginatorUserAccountName_SHA256">
    <vt:lpwstr>238C312E6B9FC6A398DC688A3347F07B74A54EF475EACA56E9C2C6B1D53319D4</vt:lpwstr>
  </property>
  <property fmtid="{D5CDD505-2E9C-101B-9397-08002B2CF9AE}" pid="42" name="PM_Originator_Hash_SHA1">
    <vt:lpwstr>ABADDEDEBD20D4CD8CFDC8EE81A4453DFE02DCDD</vt:lpwstr>
  </property>
  <property fmtid="{D5CDD505-2E9C-101B-9397-08002B2CF9AE}" pid="43" name="PM_ProtectiveMarkingImage_Footer">
    <vt:lpwstr>C:\Program Files\Common Files\janusNET Shared\janusSEAL\Images\DocumentSlashBlue.png</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Value_Footer">
    <vt:lpwstr>OFFICIAL</vt:lpwstr>
  </property>
  <property fmtid="{D5CDD505-2E9C-101B-9397-08002B2CF9AE}" pid="46" name="PM_ProtectiveMarkingValue_Header">
    <vt:lpwstr>OFFICIAL</vt:lpwstr>
  </property>
  <property fmtid="{D5CDD505-2E9C-101B-9397-08002B2CF9AE}" pid="47" name="PM_Qualifier">
    <vt:lpwstr/>
  </property>
  <property fmtid="{D5CDD505-2E9C-101B-9397-08002B2CF9AE}" pid="48" name="PM_SecurityClassification">
    <vt:lpwstr>OFFICIAL</vt:lpwstr>
  </property>
  <property fmtid="{D5CDD505-2E9C-101B-9397-08002B2CF9AE}" pid="49" name="PM_Version">
    <vt:lpwstr>2018.4</vt:lpwstr>
  </property>
  <property fmtid="{D5CDD505-2E9C-101B-9397-08002B2CF9AE}" pid="50" name="RecordPoint_ActiveItemListId">
    <vt:lpwstr>{d8f8450b-2920-42fa-8567-634f73f2544e}</vt:lpwstr>
  </property>
  <property fmtid="{D5CDD505-2E9C-101B-9397-08002B2CF9AE}" pid="51" name="RecordPoint_ActiveItemSiteId">
    <vt:lpwstr>{ba0e8e73-2c49-44f3-8a05-c0b7429b4a41}</vt:lpwstr>
  </property>
  <property fmtid="{D5CDD505-2E9C-101B-9397-08002B2CF9AE}" pid="52" name="RecordPoint_ActiveItemUniqueId">
    <vt:lpwstr>{39d947f2-4f9a-439d-acc5-72371e837d07}</vt:lpwstr>
  </property>
  <property fmtid="{D5CDD505-2E9C-101B-9397-08002B2CF9AE}" pid="53" name="RecordPoint_ActiveItemWebId">
    <vt:lpwstr>{b5fa6e31-5f37-4dec-b1a1-1e8b8f368f64}</vt:lpwstr>
  </property>
  <property fmtid="{D5CDD505-2E9C-101B-9397-08002B2CF9AE}" pid="54" name="RecordPoint_WorkflowType">
    <vt:lpwstr>ActiveSubmitStub</vt:lpwstr>
  </property>
  <property fmtid="{D5CDD505-2E9C-101B-9397-08002B2CF9AE}" pid="55" name="TSYStatus">
    <vt:lpwstr/>
  </property>
  <property fmtid="{D5CDD505-2E9C-101B-9397-08002B2CF9AE}" pid="56" name="_dlc_DocIdItemGuid">
    <vt:lpwstr>de3bd8dc-4190-42be-a10f-652de6b367ea</vt:lpwstr>
  </property>
  <property fmtid="{D5CDD505-2E9C-101B-9397-08002B2CF9AE}" pid="57" name="DocumentSetDescription">
    <vt:lpwstr/>
  </property>
  <property fmtid="{D5CDD505-2E9C-101B-9397-08002B2CF9AE}" pid="58" name="_ExtendedDescription">
    <vt:lpwstr/>
  </property>
  <property fmtid="{D5CDD505-2E9C-101B-9397-08002B2CF9AE}" pid="59" name="PM_SecurityClassification_Prev">
    <vt:lpwstr>OFFICIAL</vt:lpwstr>
  </property>
  <property fmtid="{D5CDD505-2E9C-101B-9397-08002B2CF9AE}" pid="60" name="PM_Qualifier_Prev">
    <vt:lpwstr/>
  </property>
  <property fmtid="{D5CDD505-2E9C-101B-9397-08002B2CF9AE}" pid="61" name="OECDTopic">
    <vt:lpwstr>355;#Pensions|1f17aea8-ffe6-4405-a38c-76634a75a894</vt:lpwstr>
  </property>
  <property fmtid="{D5CDD505-2E9C-101B-9397-08002B2CF9AE}" pid="62" name="APRASecurityClassification">
    <vt:lpwstr>OFFICIAL</vt:lpwstr>
  </property>
  <property fmtid="{D5CDD505-2E9C-101B-9397-08002B2CF9AE}" pid="63" name="OECDCommittee">
    <vt:lpwstr/>
  </property>
  <property fmtid="{D5CDD505-2E9C-101B-9397-08002B2CF9AE}" pid="64" name="OECDPWB">
    <vt:lpwstr>547;#2017-18|ffda23c2-cd1b-45cc-b3f4-67b12010cc58</vt:lpwstr>
  </property>
  <property fmtid="{D5CDD505-2E9C-101B-9397-08002B2CF9AE}" pid="65" name="eShareOrganisationTaxHTField0">
    <vt:lpwstr/>
  </property>
  <property fmtid="{D5CDD505-2E9C-101B-9397-08002B2CF9AE}" pid="66" name="OECDKeywords">
    <vt:lpwstr/>
  </property>
  <property fmtid="{D5CDD505-2E9C-101B-9397-08002B2CF9AE}" pid="67" name="OECDHorizontalProjects">
    <vt:lpwstr/>
  </property>
  <property fmtid="{D5CDD505-2E9C-101B-9397-08002B2CF9AE}" pid="68" name="APRADescription">
    <vt:lpwstr>Final draft update</vt:lpwstr>
  </property>
  <property fmtid="{D5CDD505-2E9C-101B-9397-08002B2CF9AE}" pid="69" name="OECDProjectOwnerStructure">
    <vt:lpwstr>133;#DAF/IPPFM|894dfadc-16c3-441c-840d-02ae3778bf04</vt:lpwstr>
  </property>
  <property fmtid="{D5CDD505-2E9C-101B-9397-08002B2CF9AE}" pid="70" name="OECDOrganisation">
    <vt:lpwstr/>
  </property>
  <property fmtid="{D5CDD505-2E9C-101B-9397-08002B2CF9AE}" pid="71" name="OECDCountry">
    <vt:lpwstr/>
  </property>
  <property fmtid="{D5CDD505-2E9C-101B-9397-08002B2CF9AE}" pid="72" name="ClassificationContentMarkingFooterShapeIds">
    <vt:lpwstr>5,6,7</vt:lpwstr>
  </property>
  <property fmtid="{D5CDD505-2E9C-101B-9397-08002B2CF9AE}" pid="73" name="ClassificationContentMarkingFooterFontProps">
    <vt:lpwstr>#0000ff,10,Calibri</vt:lpwstr>
  </property>
  <property fmtid="{D5CDD505-2E9C-101B-9397-08002B2CF9AE}" pid="74" name="ClassificationContentMarkingFooterText">
    <vt:lpwstr>Restricted Use - À usage restreint</vt:lpwstr>
  </property>
  <property fmtid="{D5CDD505-2E9C-101B-9397-08002B2CF9AE}" pid="75" name="MSIP_Label_0e5510b0-e729-4ef0-a3dd-4ba0dfe56c99_Enabled">
    <vt:lpwstr>true</vt:lpwstr>
  </property>
  <property fmtid="{D5CDD505-2E9C-101B-9397-08002B2CF9AE}" pid="76" name="MSIP_Label_0e5510b0-e729-4ef0-a3dd-4ba0dfe56c99_SetDate">
    <vt:lpwstr>2024-07-25T18:09:52Z</vt:lpwstr>
  </property>
  <property fmtid="{D5CDD505-2E9C-101B-9397-08002B2CF9AE}" pid="77" name="MSIP_Label_0e5510b0-e729-4ef0-a3dd-4ba0dfe56c99_Method">
    <vt:lpwstr>Standard</vt:lpwstr>
  </property>
  <property fmtid="{D5CDD505-2E9C-101B-9397-08002B2CF9AE}" pid="78" name="MSIP_Label_0e5510b0-e729-4ef0-a3dd-4ba0dfe56c99_Name">
    <vt:lpwstr>Restricted Use</vt:lpwstr>
  </property>
  <property fmtid="{D5CDD505-2E9C-101B-9397-08002B2CF9AE}" pid="79" name="MSIP_Label_0e5510b0-e729-4ef0-a3dd-4ba0dfe56c99_SiteId">
    <vt:lpwstr>ac41c7d4-1f61-460d-b0f4-fc925a2b471c</vt:lpwstr>
  </property>
  <property fmtid="{D5CDD505-2E9C-101B-9397-08002B2CF9AE}" pid="80" name="MSIP_Label_0e5510b0-e729-4ef0-a3dd-4ba0dfe56c99_ActionId">
    <vt:lpwstr>69f59a0e-3b88-4358-bf71-4c7f824a385d</vt:lpwstr>
  </property>
  <property fmtid="{D5CDD505-2E9C-101B-9397-08002B2CF9AE}" pid="81" name="MSIP_Label_0e5510b0-e729-4ef0-a3dd-4ba0dfe56c99_ContentBits">
    <vt:lpwstr>2</vt:lpwstr>
  </property>
</Properties>
</file>